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firstLineChars="0"/>
        <w:rPr>
          <w:color w:val="auto"/>
          <w:szCs w:val="24"/>
        </w:rPr>
      </w:pPr>
      <w:r>
        <w:rPr>
          <w:color w:val="auto"/>
          <w:szCs w:val="24"/>
        </w:rPr>
        <w:t>XXXX</w:t>
      </w:r>
    </w:p>
    <w:p>
      <w:pPr>
        <w:ind w:firstLine="0" w:firstLineChars="0"/>
        <w:rPr>
          <w:color w:val="auto"/>
          <w:szCs w:val="24"/>
        </w:rPr>
      </w:pPr>
      <w:r>
        <w:rPr>
          <w:color w:val="auto"/>
          <w:szCs w:val="24"/>
        </w:rPr>
        <w:t>XXX</w:t>
      </w:r>
    </w:p>
    <w:p>
      <w:pPr>
        <w:ind w:firstLine="0" w:firstLineChars="0"/>
        <w:jc w:val="right"/>
        <w:rPr>
          <w:b/>
          <w:bCs/>
          <w:color w:val="auto"/>
          <w:sz w:val="96"/>
          <w:szCs w:val="96"/>
        </w:rPr>
      </w:pPr>
      <w:r>
        <w:rPr>
          <w:rFonts w:hint="default" w:ascii="Times New Roman" w:hAnsi="Times New Roman" w:cs="Times New Roman"/>
          <w:b/>
          <w:bCs/>
          <w:color w:val="auto"/>
          <w:sz w:val="96"/>
          <w:szCs w:val="96"/>
        </w:rPr>
        <w:t>T/CCAATB</w:t>
      </w:r>
    </w:p>
    <w:p>
      <w:pPr>
        <w:ind w:firstLine="0" w:firstLineChars="0"/>
        <w:jc w:val="distribute"/>
        <w:rPr>
          <w:rFonts w:ascii="黑体" w:hAnsi="黑体" w:eastAsia="黑体" w:cs="黑体"/>
          <w:color w:val="auto"/>
          <w:sz w:val="48"/>
          <w:szCs w:val="48"/>
        </w:rPr>
      </w:pPr>
      <w:r>
        <w:rPr>
          <w:rFonts w:hint="eastAsia" w:ascii="黑体" w:hAnsi="黑体" w:eastAsia="黑体" w:cs="黑体"/>
          <w:color w:val="auto"/>
          <w:sz w:val="48"/>
          <w:szCs w:val="48"/>
        </w:rPr>
        <w:t>中国民用机场协会团体标准</w:t>
      </w:r>
    </w:p>
    <w:p>
      <w:pPr>
        <w:wordWrap w:val="0"/>
        <w:ind w:right="120" w:firstLine="0" w:firstLineChars="0"/>
        <w:jc w:val="right"/>
        <w:rPr>
          <w:color w:val="auto"/>
          <w:szCs w:val="24"/>
        </w:rPr>
      </w:pPr>
      <w:r>
        <w:rPr>
          <w:color w:val="auto"/>
          <w:szCs w:val="24"/>
        </w:rPr>
        <w:t>T/CCAATB xxxx-xxxx</w:t>
      </w:r>
    </w:p>
    <w:p>
      <w:pPr>
        <w:widowControl/>
        <w:ind w:left="547" w:hanging="547"/>
        <w:jc w:val="center"/>
        <w:rPr>
          <w:rFonts w:asciiTheme="minorEastAsia" w:hAnsiTheme="minorEastAsia" w:eastAsiaTheme="minorEastAsia" w:cstheme="minorEastAsia"/>
          <w:kern w:val="24"/>
          <w:sz w:val="44"/>
          <w:szCs w:val="44"/>
        </w:rPr>
      </w:pPr>
      <w:r>
        <w:rPr>
          <w:color w:val="auto"/>
          <w:szCs w:val="24"/>
        </w:rPr>
        <w:pict>
          <v:line id="直接连接符 12" o:spid="_x0000_s2050" o:spt="20" style="position:absolute;left:0pt;margin-left:0.6pt;margin-top:6.7pt;height:0pt;width:472.4pt;z-index:251660288;mso-width-relative:page;mso-height-relative:page;" filled="f" stroked="t" coordsize="21600,21600" o:gfxdata="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k4Tg41AAAAAcBAAAPAAAAAAAAAAEAIAAAACIAAABkcnMvZG93bnJldi54bWxQSwECFAAU&#10;AAAACACHTuJA/MDYIfUBAAC3AwAADgAAAAAAAAABACAAAAAjAQAAZHJzL2Uyb0RvYy54bWxQSwUG&#10;AAAAAAYABgBZAQAAigUAAAAA&#10;">
            <v:path arrowok="t"/>
            <v:fill on="f" focussize="0,0"/>
            <v:stroke color="#000000" joinstyle="round"/>
            <v:imagedata o:title=""/>
            <o:lock v:ext="edit" aspectratio="f"/>
          </v:line>
        </w:pict>
      </w:r>
    </w:p>
    <w:p>
      <w:pPr>
        <w:widowControl/>
        <w:ind w:left="547" w:hanging="547"/>
        <w:jc w:val="center"/>
        <w:rPr>
          <w:rFonts w:asciiTheme="minorEastAsia" w:hAnsiTheme="minorEastAsia" w:eastAsiaTheme="minorEastAsia" w:cstheme="minorEastAsia"/>
          <w:kern w:val="24"/>
          <w:sz w:val="44"/>
          <w:szCs w:val="44"/>
        </w:rPr>
      </w:pPr>
    </w:p>
    <w:p>
      <w:pPr>
        <w:widowControl/>
        <w:jc w:val="both"/>
        <w:rPr>
          <w:rFonts w:asciiTheme="minorEastAsia" w:hAnsiTheme="minorEastAsia" w:eastAsiaTheme="minorEastAsia" w:cstheme="minorEastAsia"/>
          <w:kern w:val="24"/>
          <w:sz w:val="44"/>
          <w:szCs w:val="44"/>
        </w:rPr>
      </w:pPr>
    </w:p>
    <w:p>
      <w:pPr>
        <w:widowControl/>
        <w:rPr>
          <w:rFonts w:asciiTheme="minorEastAsia" w:hAnsiTheme="minorEastAsia" w:eastAsiaTheme="minorEastAsia" w:cstheme="minorEastAsia"/>
          <w:kern w:val="24"/>
          <w:sz w:val="44"/>
          <w:szCs w:val="44"/>
        </w:rPr>
      </w:pPr>
    </w:p>
    <w:p>
      <w:pPr>
        <w:widowControl/>
        <w:jc w:val="center"/>
        <w:rPr>
          <w:rFonts w:asciiTheme="minorEastAsia" w:hAnsiTheme="minorEastAsia" w:eastAsiaTheme="minorEastAsia" w:cstheme="minorEastAsia"/>
          <w:b/>
          <w:bCs/>
          <w:kern w:val="24"/>
          <w:sz w:val="52"/>
          <w:szCs w:val="52"/>
        </w:rPr>
      </w:pPr>
      <w:r>
        <w:rPr>
          <w:rFonts w:hint="eastAsia" w:asciiTheme="minorEastAsia" w:hAnsiTheme="minorEastAsia" w:eastAsiaTheme="minorEastAsia" w:cstheme="minorEastAsia"/>
          <w:b/>
          <w:bCs/>
          <w:kern w:val="24"/>
          <w:sz w:val="52"/>
          <w:szCs w:val="52"/>
        </w:rPr>
        <w:t>运输机场服务费国际结算业务</w:t>
      </w:r>
    </w:p>
    <w:p>
      <w:pPr>
        <w:widowControl/>
        <w:jc w:val="center"/>
        <w:rPr>
          <w:rFonts w:asciiTheme="minorEastAsia" w:hAnsiTheme="minorEastAsia" w:eastAsiaTheme="minorEastAsia" w:cstheme="minorEastAsia"/>
          <w:b/>
          <w:bCs/>
          <w:kern w:val="24"/>
          <w:sz w:val="52"/>
          <w:szCs w:val="52"/>
        </w:rPr>
      </w:pPr>
      <w:r>
        <w:rPr>
          <w:rFonts w:hint="eastAsia" w:asciiTheme="minorEastAsia" w:hAnsiTheme="minorEastAsia" w:eastAsiaTheme="minorEastAsia" w:cstheme="minorEastAsia"/>
          <w:b/>
          <w:bCs/>
          <w:kern w:val="24"/>
          <w:sz w:val="72"/>
          <w:szCs w:val="72"/>
        </w:rPr>
        <w:t>现时结算管理规范</w:t>
      </w:r>
    </w:p>
    <w:p>
      <w:pPr>
        <w:widowControl/>
        <w:ind w:left="547" w:hanging="547"/>
        <w:jc w:val="center"/>
        <w:rPr>
          <w:rFonts w:asciiTheme="minorEastAsia" w:hAnsiTheme="minorEastAsia" w:eastAsiaTheme="minorEastAsia" w:cstheme="minorEastAsia"/>
          <w:kern w:val="24"/>
          <w:sz w:val="44"/>
          <w:szCs w:val="44"/>
        </w:rPr>
      </w:pPr>
    </w:p>
    <w:p>
      <w:pPr>
        <w:ind w:firstLine="0" w:firstLineChars="0"/>
        <w:jc w:val="center"/>
        <w:rPr>
          <w:rFonts w:eastAsia="黑体"/>
          <w:color w:val="auto"/>
          <w:sz w:val="40"/>
          <w:szCs w:val="52"/>
        </w:rPr>
      </w:pPr>
      <w:r>
        <w:rPr>
          <w:rFonts w:hint="eastAsia" w:eastAsia="黑体"/>
          <w:color w:val="auto"/>
          <w:sz w:val="40"/>
          <w:szCs w:val="52"/>
        </w:rPr>
        <w:t>(征求意见稿)</w:t>
      </w:r>
    </w:p>
    <w:p>
      <w:pPr>
        <w:widowControl/>
        <w:ind w:left="547" w:hanging="547"/>
        <w:jc w:val="center"/>
        <w:rPr>
          <w:rFonts w:asciiTheme="minorEastAsia" w:hAnsiTheme="minorEastAsia" w:eastAsiaTheme="minorEastAsia" w:cstheme="minorEastAsia"/>
          <w:kern w:val="24"/>
          <w:sz w:val="44"/>
          <w:szCs w:val="44"/>
        </w:rPr>
      </w:pPr>
    </w:p>
    <w:p>
      <w:pPr>
        <w:widowControl/>
        <w:ind w:left="547" w:hanging="547"/>
        <w:jc w:val="center"/>
        <w:rPr>
          <w:rFonts w:asciiTheme="minorEastAsia" w:hAnsiTheme="minorEastAsia" w:eastAsiaTheme="minorEastAsia" w:cstheme="minorEastAsia"/>
          <w:kern w:val="24"/>
          <w:sz w:val="44"/>
          <w:szCs w:val="44"/>
        </w:rPr>
      </w:pPr>
    </w:p>
    <w:p>
      <w:pPr>
        <w:widowControl/>
        <w:ind w:left="547" w:hanging="547"/>
        <w:jc w:val="center"/>
        <w:rPr>
          <w:rFonts w:asciiTheme="minorEastAsia" w:hAnsiTheme="minorEastAsia" w:eastAsiaTheme="minorEastAsia" w:cstheme="minorEastAsia"/>
          <w:kern w:val="24"/>
          <w:sz w:val="44"/>
          <w:szCs w:val="44"/>
        </w:rPr>
      </w:pPr>
    </w:p>
    <w:p>
      <w:pPr>
        <w:widowControl/>
        <w:ind w:left="547" w:hanging="547"/>
        <w:jc w:val="center"/>
        <w:rPr>
          <w:rFonts w:asciiTheme="minorEastAsia" w:hAnsiTheme="minorEastAsia" w:eastAsiaTheme="minorEastAsia" w:cstheme="minorEastAsia"/>
          <w:kern w:val="24"/>
          <w:sz w:val="44"/>
          <w:szCs w:val="44"/>
        </w:rPr>
      </w:pPr>
    </w:p>
    <w:p>
      <w:pPr>
        <w:widowControl/>
        <w:ind w:left="547" w:hanging="547"/>
        <w:jc w:val="center"/>
        <w:rPr>
          <w:rFonts w:asciiTheme="minorEastAsia" w:hAnsiTheme="minorEastAsia" w:eastAsiaTheme="minorEastAsia" w:cstheme="minorEastAsia"/>
          <w:kern w:val="24"/>
          <w:sz w:val="44"/>
          <w:szCs w:val="44"/>
        </w:rPr>
      </w:pPr>
    </w:p>
    <w:p>
      <w:pPr>
        <w:spacing w:beforeLines="0" w:afterLines="0"/>
        <w:ind w:firstLine="0" w:firstLineChars="0"/>
        <w:jc w:val="center"/>
        <w:rPr>
          <w:rFonts w:hint="default"/>
          <w:color w:val="auto"/>
          <w:sz w:val="24"/>
          <w:szCs w:val="24"/>
        </w:rPr>
      </w:pPr>
      <w:r>
        <w:rPr>
          <w:rFonts w:hint="default"/>
          <w:color w:val="auto"/>
          <w:sz w:val="24"/>
          <w:szCs w:val="24"/>
        </w:rPr>
        <w:pict>
          <v:line id="直接连接符 1" o:spid="_x0000_s2053" o:spt="20" style="position:absolute;left:0pt;margin-left:0.4pt;margin-top:19.8pt;height:0pt;width:472.4pt;z-index:251661312;mso-width-relative:page;mso-height-relative:page;" filled="f" stroked="t" coordsize="21600,21600">
            <v:path arrowok="t"/>
            <v:fill on="f" focussize="0,0"/>
            <v:stroke joinstyle="round"/>
            <v:imagedata o:title=""/>
            <o:lock v:ext="edit" aspectratio="f"/>
          </v:line>
        </w:pict>
      </w:r>
      <w:r>
        <w:rPr>
          <w:rFonts w:hint="eastAsia" w:ascii="黑体" w:hAnsi="黑体" w:eastAsia="黑体"/>
          <w:color w:val="auto"/>
          <w:sz w:val="24"/>
          <w:szCs w:val="24"/>
        </w:rPr>
        <w:t>XXXX-XX-XX发布</w:t>
      </w:r>
      <w:r>
        <w:rPr>
          <w:rFonts w:hint="default"/>
          <w:color w:val="auto"/>
          <w:sz w:val="24"/>
          <w:szCs w:val="24"/>
        </w:rPr>
        <w:t xml:space="preserve">                                                 </w:t>
      </w:r>
      <w:r>
        <w:rPr>
          <w:rFonts w:hint="eastAsia" w:ascii="黑体" w:hAnsi="黑体" w:eastAsia="黑体"/>
          <w:color w:val="auto"/>
          <w:sz w:val="24"/>
          <w:szCs w:val="24"/>
        </w:rPr>
        <w:t>XXXX-XX-XX实施</w:t>
      </w:r>
    </w:p>
    <w:p>
      <w:pPr>
        <w:spacing w:beforeLines="0" w:afterLines="0"/>
        <w:ind w:firstLine="0" w:firstLineChars="0"/>
        <w:jc w:val="center"/>
        <w:rPr>
          <w:rFonts w:hint="default"/>
          <w:color w:val="auto"/>
          <w:sz w:val="24"/>
          <w:szCs w:val="24"/>
        </w:rPr>
      </w:pPr>
    </w:p>
    <w:p>
      <w:pPr>
        <w:spacing w:beforeLines="0" w:afterLines="0"/>
        <w:ind w:firstLine="0" w:firstLineChars="0"/>
        <w:jc w:val="center"/>
        <w:rPr>
          <w:rFonts w:hint="eastAsia" w:ascii="黑体" w:hAnsi="黑体" w:eastAsia="黑体"/>
          <w:color w:val="auto"/>
          <w:sz w:val="24"/>
          <w:szCs w:val="21"/>
        </w:rPr>
        <w:sectPr>
          <w:headerReference r:id="rId3" w:type="default"/>
          <w:footerReference r:id="rId4" w:type="default"/>
          <w:pgSz w:w="11900" w:h="16840"/>
          <w:pgMar w:top="726" w:right="1170" w:bottom="1440" w:left="1233" w:header="851" w:footer="992" w:gutter="0"/>
          <w:lnNumType w:countBy="0" w:distance="360"/>
          <w:pgNumType w:fmt="upperRoman" w:start="1"/>
          <w:cols w:space="720" w:num="1"/>
          <w:titlePg/>
          <w:docGrid w:type="lines" w:linePitch="326" w:charSpace="0"/>
        </w:sectPr>
      </w:pPr>
      <w:r>
        <w:rPr>
          <w:rFonts w:hint="eastAsia" w:ascii="黑体" w:hAnsi="黑体" w:eastAsia="黑体"/>
          <w:color w:val="auto"/>
          <w:sz w:val="32"/>
          <w:szCs w:val="28"/>
        </w:rPr>
        <w:t xml:space="preserve">中国民用机场协会  </w:t>
      </w:r>
      <w:r>
        <w:rPr>
          <w:rFonts w:hint="default"/>
          <w:color w:val="auto"/>
          <w:sz w:val="28"/>
          <w:szCs w:val="28"/>
        </w:rPr>
        <w:t xml:space="preserve"> </w:t>
      </w:r>
      <w:r>
        <w:rPr>
          <w:rFonts w:hint="eastAsia" w:ascii="黑体" w:hAnsi="黑体" w:eastAsia="黑体" w:cs="黑体"/>
          <w:color w:val="auto"/>
          <w:sz w:val="28"/>
          <w:szCs w:val="28"/>
        </w:rPr>
        <w:t>发 布</w:t>
      </w:r>
    </w:p>
    <w:p>
      <w:pPr>
        <w:widowControl/>
        <w:jc w:val="center"/>
        <w:rPr>
          <w:rFonts w:ascii="仿宋" w:hAnsi="仿宋" w:cs="仿宋"/>
          <w:kern w:val="24"/>
          <w:szCs w:val="32"/>
        </w:rPr>
      </w:pPr>
      <w:r>
        <w:rPr>
          <w:rFonts w:hint="eastAsia" w:ascii="仿宋" w:hAnsi="仿宋" w:cs="仿宋"/>
          <w:kern w:val="24"/>
          <w:szCs w:val="32"/>
        </w:rPr>
        <w:t>目</w:t>
      </w:r>
      <w:r>
        <w:rPr>
          <w:rFonts w:hint="eastAsia" w:ascii="仿宋" w:hAnsi="仿宋" w:cs="仿宋"/>
          <w:kern w:val="24"/>
          <w:szCs w:val="32"/>
          <w:lang w:val="en-US" w:eastAsia="zh-CN"/>
        </w:rPr>
        <w:t xml:space="preserve">  </w:t>
      </w:r>
      <w:r>
        <w:rPr>
          <w:rFonts w:hint="eastAsia" w:ascii="仿宋" w:hAnsi="仿宋" w:cs="仿宋"/>
          <w:kern w:val="24"/>
          <w:szCs w:val="32"/>
        </w:rPr>
        <w:t>次</w:t>
      </w:r>
    </w:p>
    <w:p>
      <w:pPr>
        <w:pStyle w:val="11"/>
        <w:tabs>
          <w:tab w:val="right" w:leader="dot" w:pos="8306"/>
        </w:tabs>
        <w:rPr>
          <w:rFonts w:eastAsia="仿宋" w:asciiTheme="minorHAnsi" w:hAnsiTheme="minorHAnsi" w:cstheme="minorBidi"/>
          <w:kern w:val="2"/>
          <w:szCs w:val="24"/>
          <w:lang w:val="en-US" w:eastAsia="zh-CN" w:bidi="ar-SA"/>
        </w:rPr>
      </w:pPr>
      <w:r>
        <w:rPr>
          <w:rFonts w:hint="eastAsia" w:ascii="仿宋" w:hAnsi="仿宋" w:cs="仿宋"/>
          <w:kern w:val="24"/>
          <w:szCs w:val="32"/>
        </w:rPr>
        <w:fldChar w:fldCharType="begin"/>
      </w:r>
      <w:r>
        <w:rPr>
          <w:rFonts w:hint="eastAsia" w:ascii="仿宋" w:hAnsi="仿宋" w:cs="仿宋"/>
          <w:kern w:val="24"/>
          <w:szCs w:val="32"/>
        </w:rPr>
        <w:instrText xml:space="preserve">TOC \o "1-4" \h \u </w:instrText>
      </w:r>
      <w:r>
        <w:rPr>
          <w:rFonts w:hint="eastAsia" w:ascii="仿宋" w:hAnsi="仿宋" w:cs="仿宋"/>
          <w:kern w:val="24"/>
          <w:szCs w:val="32"/>
        </w:rPr>
        <w:fldChar w:fldCharType="separate"/>
      </w: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_Toc30817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前言</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_Toc30817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1</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1"/>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_Toc17188 </w:instrText>
      </w:r>
      <w:r>
        <w:rPr>
          <w:rFonts w:hint="eastAsia" w:ascii="仿宋" w:hAnsi="仿宋" w:eastAsia="仿宋" w:cs="仿宋"/>
          <w:kern w:val="24"/>
          <w:szCs w:val="32"/>
          <w:lang w:val="en-US" w:eastAsia="zh-CN" w:bidi="ar-SA"/>
        </w:rPr>
        <w:fldChar w:fldCharType="separate"/>
      </w:r>
      <w:r>
        <w:rPr>
          <w:rFonts w:hint="eastAsia" w:ascii="仿宋" w:hAnsi="仿宋" w:eastAsia="仿宋" w:cs="仿宋"/>
          <w:kern w:val="2"/>
          <w:szCs w:val="24"/>
          <w:lang w:val="en-US" w:eastAsia="zh-CN" w:bidi="ar-SA"/>
        </w:rPr>
        <w:t>引言</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_Toc17188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2</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1"/>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_Toc3321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1  规范范围</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_Toc3321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3</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_Toc27275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1.1  结算范围</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_Toc27275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3</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_Toc13396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1.2  适用对象</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_Toc13396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3</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_Toc13427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1.3  名词释义</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_Toc13427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3</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7"/>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_Toc19670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1.3.1 供应商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_Toc19670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3</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7"/>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_Toc26076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1.3.2 国际及港澳台航空公司</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_Toc26076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3</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7"/>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_Toc12013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1.3.3 服务费结算代理商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_Toc12013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3</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7"/>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_Toc10047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1.3.4 开账周期</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_Toc10047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4</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7"/>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_Toc21480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1.3.5 预警线</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_Toc21480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4</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7"/>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_Toc7300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1.3.6 主文件信息</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_Toc7300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4</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_Toc26774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1.4现时结算主流程</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_Toc26774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4</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1"/>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_Toc7582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2 主文件信息管理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_Toc7582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5</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_Toc20990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2.1 供应商信息管理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_Toc20990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5</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_Toc7404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2.2 国际及港澳台航空公司信息管理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_Toc7404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5</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_Toc7333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2.3 航空器信息管理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_Toc7333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5</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_Toc29147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2.4 计费依据管理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_Toc29147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6</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_Toc21316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2.5 开账周期设置</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_Toc21316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6</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_Toc12635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2.6 预警线设置</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_Toc12635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6</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_Toc24531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2.7 预警联系人设置</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_Toc24531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7</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1"/>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_Toc19229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3 结算管理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_Toc19229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7</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_Toc29276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3.1 供应商收入管理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_Toc29276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7</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_Toc6589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3.2 国际及港澳台航空公司拒付管理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_Toc6589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7</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1"/>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_Toc752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4 资金管理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_Toc752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8</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_Toc17732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4.1 资金充值</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_Toc17732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8</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7"/>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_Toc28848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4.1.1 首次充值</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_Toc28848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8</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7"/>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_Toc4771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4.1.2 日常充值</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_Toc4771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8</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_Toc3541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4.2 资金划转</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_Toc3541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9</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_Toc20500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4.3 资金提现</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_Toc20500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9</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_Toc10503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4.4 滞纳金计算方式</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_Toc10503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9</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1"/>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_Toc19850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5 预警机制</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_Toc19850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9</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_Toc26265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5.1 预警分类</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_Toc26265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9</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7"/>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_Toc2453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5.1.1 一般预警</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_Toc2453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9</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7"/>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_Toc4183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5.1.2 严重预警</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_Toc4183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9</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_Toc15968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5.2 预警处置</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_Toc15968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10</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7"/>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_Toc30984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5.2.1 一般预警处置</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_Toc30984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10</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7"/>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_Toc6073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5.2.2 严重预警处置</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_Toc6073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10</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1"/>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_Toc14554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6 现时结算准入及退出管理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_Toc14554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10</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_Toc25156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6.1 现时结算准入管理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_Toc25156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10</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14"/>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_Toc29264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6.2 现时结算退出管理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_Toc29264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10</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7"/>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_Toc17728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6.2.1 一般退出管理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_Toc17728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10</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pStyle w:val="7"/>
        <w:tabs>
          <w:tab w:val="right" w:leader="dot" w:pos="8306"/>
        </w:tabs>
        <w:rPr>
          <w:rFonts w:eastAsia="仿宋" w:asciiTheme="minorHAnsi" w:hAnsiTheme="minorHAnsi" w:cstheme="minorBidi"/>
          <w:kern w:val="2"/>
          <w:szCs w:val="24"/>
          <w:lang w:val="en-US" w:eastAsia="zh-CN" w:bidi="ar-SA"/>
        </w:rPr>
      </w:pPr>
      <w:r>
        <w:rPr>
          <w:rFonts w:hint="eastAsia" w:ascii="仿宋" w:hAnsi="仿宋" w:eastAsia="仿宋" w:cs="仿宋"/>
          <w:kern w:val="24"/>
          <w:szCs w:val="32"/>
          <w:lang w:val="en-US" w:eastAsia="zh-CN" w:bidi="ar-SA"/>
        </w:rPr>
        <w:fldChar w:fldCharType="begin"/>
      </w:r>
      <w:r>
        <w:rPr>
          <w:rFonts w:hint="eastAsia" w:ascii="仿宋" w:hAnsi="仿宋" w:eastAsia="仿宋" w:cs="仿宋"/>
          <w:kern w:val="24"/>
          <w:szCs w:val="32"/>
          <w:lang w:val="en-US" w:eastAsia="zh-CN" w:bidi="ar-SA"/>
        </w:rPr>
        <w:instrText xml:space="preserve"> HYPERLINK \l _Toc2916 </w:instrText>
      </w:r>
      <w:r>
        <w:rPr>
          <w:rFonts w:hint="eastAsia" w:ascii="仿宋" w:hAnsi="仿宋" w:eastAsia="仿宋" w:cs="仿宋"/>
          <w:kern w:val="24"/>
          <w:szCs w:val="32"/>
          <w:lang w:val="en-US" w:eastAsia="zh-CN" w:bidi="ar-SA"/>
        </w:rPr>
        <w:fldChar w:fldCharType="separate"/>
      </w:r>
      <w:r>
        <w:rPr>
          <w:rFonts w:hint="eastAsia" w:eastAsia="仿宋" w:asciiTheme="minorHAnsi" w:hAnsiTheme="minorHAnsi" w:cstheme="minorBidi"/>
          <w:kern w:val="2"/>
          <w:szCs w:val="24"/>
          <w:lang w:val="en-US" w:eastAsia="zh-CN" w:bidi="ar-SA"/>
        </w:rPr>
        <w:t>6.2.1 特殊退出管理</w:t>
      </w:r>
      <w:r>
        <w:rPr>
          <w:rFonts w:eastAsia="仿宋" w:asciiTheme="minorHAnsi" w:hAnsiTheme="minorHAnsi" w:cstheme="minorBidi"/>
          <w:kern w:val="2"/>
          <w:szCs w:val="24"/>
          <w:lang w:val="en-US" w:eastAsia="zh-CN" w:bidi="ar-SA"/>
        </w:rPr>
        <w:tab/>
      </w:r>
      <w:r>
        <w:rPr>
          <w:rFonts w:eastAsia="仿宋" w:asciiTheme="minorHAnsi" w:hAnsiTheme="minorHAnsi" w:cstheme="minorBidi"/>
          <w:kern w:val="2"/>
          <w:szCs w:val="24"/>
          <w:lang w:val="en-US" w:eastAsia="zh-CN" w:bidi="ar-SA"/>
        </w:rPr>
        <w:fldChar w:fldCharType="begin"/>
      </w:r>
      <w:r>
        <w:rPr>
          <w:rFonts w:eastAsia="仿宋" w:asciiTheme="minorHAnsi" w:hAnsiTheme="minorHAnsi" w:cstheme="minorBidi"/>
          <w:kern w:val="2"/>
          <w:szCs w:val="24"/>
          <w:lang w:val="en-US" w:eastAsia="zh-CN" w:bidi="ar-SA"/>
        </w:rPr>
        <w:instrText xml:space="preserve"> PAGEREF _Toc2916 </w:instrText>
      </w:r>
      <w:r>
        <w:rPr>
          <w:rFonts w:eastAsia="仿宋" w:asciiTheme="minorHAnsi" w:hAnsiTheme="minorHAnsi" w:cstheme="minorBidi"/>
          <w:kern w:val="2"/>
          <w:szCs w:val="24"/>
          <w:lang w:val="en-US" w:eastAsia="zh-CN" w:bidi="ar-SA"/>
        </w:rPr>
        <w:fldChar w:fldCharType="separate"/>
      </w:r>
      <w:r>
        <w:rPr>
          <w:rFonts w:eastAsia="仿宋" w:asciiTheme="minorHAnsi" w:hAnsiTheme="minorHAnsi" w:cstheme="minorBidi"/>
          <w:kern w:val="2"/>
          <w:szCs w:val="24"/>
          <w:lang w:val="en-US" w:eastAsia="zh-CN" w:bidi="ar-SA"/>
        </w:rPr>
        <w:t>11</w:t>
      </w:r>
      <w:r>
        <w:rPr>
          <w:rFonts w:eastAsia="仿宋" w:asciiTheme="minorHAnsi" w:hAnsiTheme="minorHAnsi" w:cstheme="minorBidi"/>
          <w:kern w:val="2"/>
          <w:szCs w:val="24"/>
          <w:lang w:val="en-US" w:eastAsia="zh-CN" w:bidi="ar-SA"/>
        </w:rPr>
        <w:fldChar w:fldCharType="end"/>
      </w:r>
      <w:r>
        <w:rPr>
          <w:rFonts w:hint="eastAsia" w:ascii="仿宋" w:hAnsi="仿宋" w:eastAsia="仿宋" w:cs="仿宋"/>
          <w:kern w:val="24"/>
          <w:szCs w:val="32"/>
          <w:lang w:val="en-US" w:eastAsia="zh-CN" w:bidi="ar-SA"/>
        </w:rPr>
        <w:fldChar w:fldCharType="end"/>
      </w:r>
    </w:p>
    <w:p>
      <w:pPr>
        <w:widowControl/>
        <w:rPr>
          <w:rFonts w:hint="eastAsia" w:ascii="仿宋" w:hAnsi="仿宋" w:eastAsia="仿宋" w:cs="仿宋"/>
          <w:sz w:val="32"/>
          <w:szCs w:val="32"/>
        </w:rPr>
        <w:sectPr>
          <w:pgSz w:w="11906" w:h="16838"/>
          <w:pgMar w:top="1440" w:right="1800" w:bottom="1440" w:left="1800" w:header="851" w:footer="992" w:gutter="0"/>
          <w:pgNumType w:fmt="upperRoman" w:start="1"/>
          <w:cols w:space="425" w:num="1"/>
          <w:titlePg/>
          <w:docGrid w:type="lines" w:linePitch="312" w:charSpace="0"/>
        </w:sectPr>
      </w:pPr>
      <w:r>
        <w:rPr>
          <w:rFonts w:hint="eastAsia" w:ascii="仿宋" w:hAnsi="仿宋" w:eastAsia="仿宋" w:cs="仿宋"/>
          <w:kern w:val="24"/>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rPr>
      </w:pPr>
      <w:bookmarkStart w:id="0" w:name="_Toc30817"/>
      <w:r>
        <w:rPr>
          <w:rStyle w:val="24"/>
          <w:rFonts w:hint="eastAsia"/>
          <w:lang w:val="en-US" w:eastAsia="zh-CN"/>
        </w:rPr>
        <w:t>前言</w:t>
      </w:r>
      <w:bookmarkEnd w:id="0"/>
    </w:p>
    <w:p>
      <w:pPr>
        <w:keepNext w:val="0"/>
        <w:keepLines w:val="0"/>
        <w:pageBreakBefore w:val="0"/>
        <w:widowControl w:val="0"/>
        <w:kinsoku/>
        <w:wordWrap/>
        <w:overflowPunct/>
        <w:topLinePunct w:val="0"/>
        <w:autoSpaceDE/>
        <w:autoSpaceDN/>
        <w:bidi w:val="0"/>
        <w:adjustRightInd/>
        <w:snapToGrid/>
        <w:spacing w:line="360" w:lineRule="auto"/>
        <w:ind w:firstLine="320" w:firstLineChars="100"/>
        <w:textAlignment w:val="auto"/>
        <w:rPr>
          <w:rFonts w:hint="eastAsia" w:ascii="仿宋" w:hAnsi="仿宋" w:eastAsia="仿宋" w:cs="仿宋"/>
          <w:sz w:val="32"/>
          <w:szCs w:val="32"/>
          <w:lang w:val="en-US" w:eastAsia="zh-CN"/>
        </w:rPr>
      </w:pPr>
      <w:r>
        <w:rPr>
          <w:rFonts w:hint="eastAsia" w:ascii="仿宋" w:hAnsi="仿宋" w:cs="仿宋"/>
          <w:sz w:val="32"/>
          <w:szCs w:val="32"/>
          <w:lang w:val="en-US" w:eastAsia="zh-CN"/>
        </w:rPr>
        <w:t xml:space="preserve"> </w:t>
      </w:r>
      <w:r>
        <w:rPr>
          <w:rFonts w:hint="eastAsia" w:ascii="仿宋" w:hAnsi="仿宋" w:eastAsia="仿宋" w:cs="仿宋"/>
          <w:sz w:val="32"/>
          <w:szCs w:val="32"/>
          <w:lang w:val="en-US" w:eastAsia="zh-CN"/>
        </w:rPr>
        <w:t>本标准按照GB/T 1.1-2020《标准化工作导则 第1部分：标准化文件的结构和起草规则》给出的规则起草。</w:t>
      </w:r>
    </w:p>
    <w:p>
      <w:pPr>
        <w:keepNext w:val="0"/>
        <w:keepLines w:val="0"/>
        <w:pageBreakBefore w:val="0"/>
        <w:widowControl w:val="0"/>
        <w:kinsoku/>
        <w:wordWrap/>
        <w:overflowPunct/>
        <w:topLinePunct w:val="0"/>
        <w:autoSpaceDE/>
        <w:autoSpaceDN/>
        <w:bidi w:val="0"/>
        <w:adjustRightInd/>
        <w:snapToGrid/>
        <w:spacing w:line="360" w:lineRule="auto"/>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本标准版权归中国民用机场协会、中国航空结算有限责任公司所有。</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本标准起草单位：</w:t>
      </w:r>
    </w:p>
    <w:p>
      <w:pPr>
        <w:spacing w:line="360" w:lineRule="auto"/>
        <w:rPr>
          <w:rFonts w:hint="eastAsia" w:ascii="仿宋" w:hAnsi="仿宋" w:eastAsia="仿宋" w:cs="仿宋"/>
          <w:color w:val="FF0000"/>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本标准起草人员：</w:t>
      </w:r>
    </w:p>
    <w:p>
      <w:pPr>
        <w:ind w:firstLine="960" w:firstLineChars="300"/>
        <w:rPr>
          <w:rFonts w:ascii="仿宋" w:hAnsi="仿宋" w:eastAsia="仿宋" w:cs="仿宋"/>
        </w:rPr>
      </w:pPr>
      <w:r>
        <w:rPr>
          <w:rFonts w:hint="eastAsia" w:ascii="仿宋" w:hAnsi="仿宋" w:eastAsia="仿宋" w:cs="仿宋"/>
        </w:rPr>
        <w:t xml:space="preserve"> </w:t>
      </w:r>
    </w:p>
    <w:p>
      <w:pPr>
        <w:ind w:firstLine="960" w:firstLineChars="300"/>
        <w:rPr>
          <w:rFonts w:ascii="仿宋" w:hAnsi="仿宋" w:eastAsia="仿宋" w:cs="仿宋"/>
        </w:rPr>
      </w:pPr>
    </w:p>
    <w:p>
      <w:pPr>
        <w:ind w:firstLine="960" w:firstLineChars="300"/>
        <w:rPr>
          <w:rFonts w:ascii="仿宋" w:hAnsi="仿宋" w:eastAsia="仿宋" w:cs="仿宋"/>
        </w:rPr>
      </w:pPr>
    </w:p>
    <w:p>
      <w:pPr>
        <w:ind w:firstLine="960" w:firstLineChars="300"/>
        <w:rPr>
          <w:rFonts w:ascii="仿宋" w:hAnsi="仿宋" w:eastAsia="仿宋" w:cs="仿宋"/>
        </w:rPr>
      </w:pPr>
    </w:p>
    <w:p>
      <w:pPr>
        <w:ind w:firstLine="960" w:firstLineChars="300"/>
        <w:rPr>
          <w:rFonts w:ascii="仿宋" w:hAnsi="仿宋" w:eastAsia="仿宋" w:cs="仿宋"/>
        </w:rPr>
      </w:pPr>
    </w:p>
    <w:p>
      <w:pPr>
        <w:ind w:firstLine="960" w:firstLineChars="300"/>
        <w:rPr>
          <w:rFonts w:ascii="仿宋" w:hAnsi="仿宋" w:eastAsia="仿宋" w:cs="仿宋"/>
        </w:rPr>
      </w:pPr>
    </w:p>
    <w:p>
      <w:pPr>
        <w:ind w:firstLine="960" w:firstLineChars="300"/>
        <w:rPr>
          <w:rFonts w:ascii="仿宋" w:hAnsi="仿宋" w:eastAsia="仿宋" w:cs="仿宋"/>
        </w:rPr>
      </w:pPr>
    </w:p>
    <w:p>
      <w:pPr>
        <w:ind w:firstLine="960" w:firstLineChars="300"/>
        <w:rPr>
          <w:rFonts w:ascii="仿宋" w:hAnsi="仿宋" w:eastAsia="仿宋" w:cs="仿宋"/>
        </w:rPr>
      </w:pPr>
    </w:p>
    <w:p>
      <w:pPr>
        <w:ind w:firstLine="960" w:firstLineChars="300"/>
        <w:rPr>
          <w:rFonts w:ascii="仿宋" w:hAnsi="仿宋" w:eastAsia="仿宋" w:cs="仿宋"/>
        </w:rPr>
      </w:pPr>
    </w:p>
    <w:p>
      <w:pPr>
        <w:ind w:firstLine="960" w:firstLineChars="300"/>
        <w:rPr>
          <w:rFonts w:ascii="仿宋" w:hAnsi="仿宋" w:eastAsia="仿宋" w:cs="仿宋"/>
        </w:rPr>
      </w:pPr>
    </w:p>
    <w:p>
      <w:pPr>
        <w:ind w:firstLine="960" w:firstLineChars="300"/>
        <w:rPr>
          <w:rFonts w:ascii="仿宋" w:hAnsi="仿宋" w:eastAsia="仿宋" w:cs="仿宋"/>
        </w:rPr>
      </w:pPr>
    </w:p>
    <w:p>
      <w:pPr>
        <w:ind w:firstLine="960" w:firstLineChars="300"/>
        <w:rPr>
          <w:rFonts w:ascii="仿宋" w:hAnsi="仿宋" w:eastAsia="仿宋" w:cs="仿宋"/>
        </w:rPr>
      </w:pPr>
      <w:bookmarkStart w:id="44" w:name="_GoBack"/>
      <w:bookmarkEnd w:id="44"/>
    </w:p>
    <w:p>
      <w:pPr>
        <w:ind w:firstLine="960" w:firstLineChars="300"/>
        <w:rPr>
          <w:rFonts w:ascii="仿宋" w:hAnsi="仿宋" w:eastAsia="仿宋" w:cs="仿宋"/>
        </w:rPr>
      </w:pPr>
    </w:p>
    <w:p>
      <w:pPr>
        <w:pStyle w:val="23"/>
        <w:ind w:left="0" w:leftChars="0" w:firstLine="0" w:firstLineChars="0"/>
        <w:rPr>
          <w:rFonts w:ascii="仿宋" w:hAnsi="仿宋" w:eastAsia="仿宋" w:cs="仿宋"/>
        </w:rPr>
      </w:pPr>
    </w:p>
    <w:p>
      <w:pPr>
        <w:pStyle w:val="2"/>
        <w:jc w:val="center"/>
        <w:rPr>
          <w:rFonts w:ascii="仿宋" w:hAnsi="仿宋" w:eastAsia="仿宋" w:cs="仿宋"/>
        </w:rPr>
      </w:pPr>
      <w:bookmarkStart w:id="1" w:name="_Toc17188"/>
      <w:bookmarkStart w:id="2" w:name="_Toc28062"/>
      <w:r>
        <w:rPr>
          <w:rFonts w:hint="eastAsia" w:ascii="仿宋" w:hAnsi="仿宋" w:eastAsia="仿宋" w:cs="仿宋"/>
        </w:rPr>
        <w:t>引言</w:t>
      </w:r>
      <w:bookmarkEnd w:id="1"/>
      <w:bookmarkEnd w:id="2"/>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随着国际民航运输业的高速发展，进入中国市场的国际航空公司日趋增长，面临复杂多变的国际环境，对于提供起降支持和地面服务的国内机场而言，其资金风险也随之增长。其中，因遵循先服务后收款的传统结算模式，导致国内机场应收账款账期过长甚至无法收回的不利情况屡有发生。</w:t>
      </w:r>
    </w:p>
    <w:p>
      <w:pPr>
        <w:spacing w:line="360" w:lineRule="auto"/>
        <w:ind w:firstLine="640" w:firstLineChars="200"/>
        <w:rPr>
          <w:rFonts w:hint="eastAsia" w:ascii="仿宋" w:hAnsi="仿宋" w:eastAsia="仿宋" w:cs="仿宋"/>
          <w:sz w:val="32"/>
          <w:szCs w:val="32"/>
          <w:lang w:eastAsia="zh-CN"/>
        </w:rPr>
      </w:pPr>
      <w:r>
        <w:rPr>
          <w:rFonts w:hint="eastAsia"/>
        </w:rPr>
        <w:t>为改善传统结算弊端，提高国内机场资金风险防控能力，</w:t>
      </w:r>
      <w:r>
        <w:rPr>
          <w:rFonts w:hint="eastAsia" w:ascii="仿宋" w:hAnsi="仿宋" w:eastAsia="仿宋" w:cs="仿宋"/>
          <w:sz w:val="32"/>
          <w:szCs w:val="32"/>
        </w:rPr>
        <w:t>中国航空结算有限责任公司</w:t>
      </w:r>
      <w:r>
        <w:rPr>
          <w:rFonts w:hint="eastAsia" w:ascii="仿宋" w:hAnsi="仿宋" w:eastAsia="仿宋" w:cs="仿宋"/>
          <w:sz w:val="32"/>
          <w:szCs w:val="32"/>
          <w:lang w:eastAsia="zh-CN"/>
        </w:rPr>
        <w:t>创新建设现时结算模式，</w:t>
      </w:r>
      <w:r>
        <w:rPr>
          <w:rFonts w:hint="eastAsia" w:ascii="仿宋" w:hAnsi="仿宋" w:cs="仿宋"/>
          <w:sz w:val="32"/>
          <w:szCs w:val="32"/>
          <w:lang w:val="en-US" w:eastAsia="zh-CN"/>
        </w:rPr>
        <w:t>该模式基于国际服务费双边结算方式下，</w:t>
      </w:r>
      <w:r>
        <w:rPr>
          <w:rFonts w:hint="eastAsia" w:ascii="仿宋" w:hAnsi="仿宋" w:eastAsia="仿宋" w:cs="仿宋"/>
          <w:sz w:val="32"/>
          <w:szCs w:val="32"/>
          <w:lang w:eastAsia="zh-CN"/>
        </w:rPr>
        <w:t>为机场客户、地服公司等供应商与国际及港澳台航空公司之间的</w:t>
      </w:r>
      <w:r>
        <w:rPr>
          <w:rFonts w:hint="eastAsia" w:ascii="仿宋" w:hAnsi="仿宋" w:eastAsia="仿宋" w:cs="仿宋"/>
          <w:sz w:val="32"/>
          <w:szCs w:val="32"/>
          <w:lang w:val="en-US" w:eastAsia="zh-CN"/>
        </w:rPr>
        <w:t>国际服务费</w:t>
      </w:r>
      <w:r>
        <w:rPr>
          <w:rFonts w:hint="eastAsia" w:ascii="仿宋" w:hAnsi="仿宋" w:eastAsia="仿宋" w:cs="仿宋"/>
          <w:sz w:val="32"/>
          <w:szCs w:val="32"/>
          <w:lang w:eastAsia="zh-CN"/>
        </w:rPr>
        <w:t>结算提供准实时性的数据处理及结算服务，打造集</w:t>
      </w:r>
      <w:r>
        <w:rPr>
          <w:rFonts w:hint="eastAsia" w:ascii="仿宋" w:hAnsi="仿宋" w:eastAsia="仿宋" w:cs="仿宋"/>
          <w:sz w:val="32"/>
          <w:szCs w:val="32"/>
        </w:rPr>
        <w:t>数据</w:t>
      </w:r>
      <w:r>
        <w:rPr>
          <w:rFonts w:hint="eastAsia" w:ascii="仿宋" w:hAnsi="仿宋" w:eastAsia="仿宋" w:cs="仿宋"/>
          <w:sz w:val="32"/>
          <w:szCs w:val="32"/>
          <w:lang w:eastAsia="zh-CN"/>
        </w:rPr>
        <w:t>导入</w:t>
      </w:r>
      <w:r>
        <w:rPr>
          <w:rFonts w:hint="eastAsia" w:ascii="仿宋" w:hAnsi="仿宋" w:eastAsia="仿宋" w:cs="仿宋"/>
          <w:sz w:val="32"/>
          <w:szCs w:val="32"/>
        </w:rPr>
        <w:t>、</w:t>
      </w:r>
      <w:r>
        <w:rPr>
          <w:rFonts w:hint="eastAsia" w:ascii="仿宋" w:hAnsi="仿宋" w:eastAsia="仿宋" w:cs="仿宋"/>
          <w:sz w:val="32"/>
          <w:szCs w:val="32"/>
          <w:lang w:eastAsia="zh-CN"/>
        </w:rPr>
        <w:t>数据校验、</w:t>
      </w:r>
      <w:r>
        <w:rPr>
          <w:rFonts w:hint="eastAsia" w:ascii="仿宋" w:hAnsi="仿宋" w:eastAsia="仿宋" w:cs="仿宋"/>
          <w:sz w:val="32"/>
          <w:szCs w:val="32"/>
        </w:rPr>
        <w:t>结算</w:t>
      </w:r>
      <w:r>
        <w:rPr>
          <w:rFonts w:hint="eastAsia" w:ascii="仿宋" w:hAnsi="仿宋" w:eastAsia="仿宋" w:cs="仿宋"/>
          <w:sz w:val="32"/>
          <w:szCs w:val="32"/>
          <w:lang w:eastAsia="zh-CN"/>
        </w:rPr>
        <w:t>管理、资金</w:t>
      </w:r>
      <w:r>
        <w:rPr>
          <w:rFonts w:hint="eastAsia" w:ascii="仿宋" w:hAnsi="仿宋" w:eastAsia="仿宋" w:cs="仿宋"/>
          <w:sz w:val="32"/>
          <w:szCs w:val="32"/>
        </w:rPr>
        <w:t>支付</w:t>
      </w:r>
      <w:r>
        <w:rPr>
          <w:rFonts w:hint="eastAsia" w:ascii="仿宋" w:hAnsi="仿宋" w:eastAsia="仿宋" w:cs="仿宋"/>
          <w:sz w:val="32"/>
          <w:szCs w:val="32"/>
          <w:lang w:eastAsia="zh-CN"/>
        </w:rPr>
        <w:t>等多功能于一体的综合性服务模式，实现客户资金快速回笼，避免坏账损失。</w:t>
      </w:r>
    </w:p>
    <w:p>
      <w:pPr>
        <w:spacing w:line="360" w:lineRule="auto"/>
        <w:ind w:firstLine="640" w:firstLineChars="200"/>
        <w:rPr>
          <w:rFonts w:hint="eastAsia"/>
          <w:lang w:eastAsia="zh-CN"/>
        </w:rPr>
      </w:pPr>
      <w:r>
        <w:rPr>
          <w:rFonts w:hint="eastAsia"/>
        </w:rPr>
        <w:t>为加强现时结算的系统和流程的统一，特此制定本规范。推动机场国际服务费结算模式的革新和变化，</w:t>
      </w:r>
      <w:r>
        <w:rPr>
          <w:rFonts w:hint="eastAsia"/>
          <w:lang w:eastAsia="zh-CN"/>
        </w:rPr>
        <w:t>助力</w:t>
      </w:r>
      <w:r>
        <w:rPr>
          <w:rFonts w:hint="eastAsia"/>
        </w:rPr>
        <w:t>建立行业内健康发展的高效</w:t>
      </w:r>
      <w:r>
        <w:rPr>
          <w:rFonts w:hint="eastAsia"/>
          <w:lang w:eastAsia="zh-CN"/>
        </w:rPr>
        <w:t>产业</w:t>
      </w:r>
      <w:r>
        <w:rPr>
          <w:rFonts w:hint="eastAsia"/>
        </w:rPr>
        <w:t>生态群</w:t>
      </w:r>
      <w:r>
        <w:rPr>
          <w:rFonts w:hint="eastAsia"/>
          <w:lang w:eastAsia="zh-CN"/>
        </w:rPr>
        <w:t>。</w:t>
      </w:r>
    </w:p>
    <w:p>
      <w:pPr>
        <w:spacing w:line="360" w:lineRule="auto"/>
        <w:ind w:firstLine="640" w:firstLineChars="200"/>
        <w:rPr>
          <w:rFonts w:hint="eastAsia"/>
          <w:lang w:eastAsia="zh-CN"/>
        </w:rPr>
      </w:pPr>
    </w:p>
    <w:p>
      <w:pPr>
        <w:spacing w:line="360" w:lineRule="auto"/>
        <w:ind w:firstLine="640" w:firstLineChars="200"/>
        <w:rPr>
          <w:rFonts w:hint="eastAsia" w:ascii="仿宋" w:hAnsi="仿宋" w:eastAsia="仿宋" w:cs="仿宋"/>
          <w:sz w:val="32"/>
          <w:szCs w:val="32"/>
          <w:lang w:eastAsia="zh-CN"/>
        </w:rPr>
      </w:pPr>
    </w:p>
    <w:p>
      <w:pPr>
        <w:spacing w:line="360" w:lineRule="auto"/>
        <w:rPr>
          <w:rFonts w:hint="eastAsia" w:ascii="仿宋" w:hAnsi="仿宋" w:eastAsia="仿宋" w:cs="仿宋"/>
          <w:sz w:val="32"/>
          <w:szCs w:val="32"/>
          <w:lang w:eastAsia="zh-CN"/>
        </w:rPr>
      </w:pPr>
    </w:p>
    <w:p>
      <w:pPr>
        <w:spacing w:line="360" w:lineRule="auto"/>
        <w:rPr>
          <w:rFonts w:hint="eastAsia" w:ascii="仿宋" w:hAnsi="仿宋" w:eastAsia="仿宋" w:cs="仿宋"/>
          <w:sz w:val="32"/>
          <w:szCs w:val="32"/>
          <w:lang w:eastAsia="zh-CN"/>
        </w:rPr>
      </w:pPr>
    </w:p>
    <w:p>
      <w:pPr>
        <w:pStyle w:val="2"/>
        <w:rPr>
          <w:rFonts w:asciiTheme="minorEastAsia" w:hAnsiTheme="minorEastAsia" w:eastAsiaTheme="minorEastAsia" w:cstheme="minorEastAsia"/>
          <w:kern w:val="24"/>
          <w:szCs w:val="32"/>
        </w:rPr>
      </w:pPr>
      <w:bookmarkStart w:id="3" w:name="_Toc3321"/>
      <w:r>
        <w:rPr>
          <w:rFonts w:hint="eastAsia"/>
        </w:rPr>
        <w:t xml:space="preserve">1  </w:t>
      </w:r>
      <w:r>
        <w:rPr>
          <w:rFonts w:hint="eastAsia"/>
          <w:lang w:val="en-US" w:eastAsia="zh-CN"/>
        </w:rPr>
        <w:t>规范</w:t>
      </w:r>
      <w:r>
        <w:rPr>
          <w:rFonts w:hint="eastAsia"/>
        </w:rPr>
        <w:t>范围</w:t>
      </w:r>
      <w:bookmarkEnd w:id="3"/>
    </w:p>
    <w:p>
      <w:pPr>
        <w:pStyle w:val="3"/>
      </w:pPr>
      <w:bookmarkStart w:id="4" w:name="_Toc27275"/>
      <w:r>
        <w:rPr>
          <w:rFonts w:hint="eastAsia"/>
        </w:rPr>
        <w:t>1.1  结算范围</w:t>
      </w:r>
      <w:bookmarkEnd w:id="4"/>
    </w:p>
    <w:p>
      <w:pPr>
        <w:spacing w:line="360" w:lineRule="auto"/>
        <w:ind w:firstLine="640" w:firstLineChars="200"/>
        <w:rPr>
          <w:rFonts w:asciiTheme="minorEastAsia" w:hAnsiTheme="minorEastAsia" w:eastAsiaTheme="minorEastAsia" w:cstheme="minorEastAsia"/>
          <w:kern w:val="24"/>
          <w:szCs w:val="32"/>
        </w:rPr>
      </w:pPr>
      <w:r>
        <w:rPr>
          <w:rFonts w:hint="eastAsia"/>
        </w:rPr>
        <w:t>本规范适用于由各供应商向国际及港澳台航空公司提供机场服务的各项收费</w:t>
      </w:r>
      <w:r>
        <w:rPr>
          <w:rFonts w:hint="eastAsia"/>
          <w:lang w:eastAsia="zh-CN"/>
        </w:rPr>
        <w:t>，</w:t>
      </w:r>
      <w:r>
        <w:rPr>
          <w:rFonts w:hint="eastAsia"/>
          <w:lang w:val="en-US" w:eastAsia="zh-CN"/>
        </w:rPr>
        <w:t>包括但不限于执飞班机、包机等运输任务产生的各类机场服务费用。</w:t>
      </w:r>
    </w:p>
    <w:p>
      <w:pPr>
        <w:pStyle w:val="3"/>
      </w:pPr>
      <w:bookmarkStart w:id="5" w:name="_Toc13396"/>
      <w:r>
        <w:rPr>
          <w:rFonts w:hint="eastAsia"/>
        </w:rPr>
        <w:t>1.2  适用对象</w:t>
      </w:r>
      <w:bookmarkEnd w:id="5"/>
    </w:p>
    <w:p>
      <w:pPr>
        <w:spacing w:line="360" w:lineRule="auto"/>
        <w:ind w:firstLine="640" w:firstLineChars="200"/>
        <w:rPr>
          <w:rFonts w:asciiTheme="minorEastAsia" w:hAnsiTheme="minorEastAsia" w:eastAsiaTheme="minorEastAsia" w:cstheme="minorEastAsia"/>
          <w:kern w:val="24"/>
          <w:szCs w:val="32"/>
        </w:rPr>
      </w:pPr>
      <w:r>
        <w:rPr>
          <w:rFonts w:hint="eastAsia"/>
        </w:rPr>
        <w:t>本标准适用于</w:t>
      </w:r>
      <w:r>
        <w:rPr>
          <w:rFonts w:hint="eastAsia"/>
          <w:lang w:val="en-US" w:eastAsia="zh-CN"/>
        </w:rPr>
        <w:t>客户对象</w:t>
      </w:r>
      <w:r>
        <w:rPr>
          <w:rFonts w:hint="eastAsia"/>
          <w:lang w:eastAsia="zh-CN"/>
        </w:rPr>
        <w:t>；</w:t>
      </w:r>
      <w:r>
        <w:rPr>
          <w:rFonts w:hint="eastAsia"/>
        </w:rPr>
        <w:t>中国港澳台航空公司</w:t>
      </w:r>
      <w:r>
        <w:rPr>
          <w:rFonts w:hint="eastAsia"/>
          <w:lang w:eastAsia="zh-CN"/>
        </w:rPr>
        <w:t>；</w:t>
      </w:r>
      <w:r>
        <w:rPr>
          <w:rFonts w:hint="eastAsia"/>
        </w:rPr>
        <w:t>中国大陆机场、地服、物流、维修、餐食、航司等（不限于以上）提供机场服务项目的中国供应商</w:t>
      </w:r>
      <w:r>
        <w:rPr>
          <w:rFonts w:hint="eastAsia"/>
          <w:lang w:eastAsia="zh-CN"/>
        </w:rPr>
        <w:t>；</w:t>
      </w:r>
      <w:r>
        <w:rPr>
          <w:rFonts w:hint="eastAsia"/>
        </w:rPr>
        <w:t>服务费结算代理商。</w:t>
      </w:r>
    </w:p>
    <w:p>
      <w:pPr>
        <w:pStyle w:val="3"/>
        <w:rPr>
          <w:rFonts w:asciiTheme="minorEastAsia" w:hAnsiTheme="minorEastAsia" w:eastAsiaTheme="minorEastAsia" w:cstheme="minorEastAsia"/>
          <w:kern w:val="24"/>
          <w:sz w:val="32"/>
          <w:szCs w:val="32"/>
        </w:rPr>
      </w:pPr>
      <w:bookmarkStart w:id="6" w:name="_Toc13427"/>
      <w:r>
        <w:rPr>
          <w:rFonts w:hint="eastAsia"/>
        </w:rPr>
        <w:t>1.3  名词释义</w:t>
      </w:r>
      <w:bookmarkEnd w:id="6"/>
    </w:p>
    <w:p>
      <w:pPr>
        <w:pStyle w:val="4"/>
      </w:pPr>
      <w:bookmarkStart w:id="7" w:name="_Toc19670"/>
      <w:r>
        <w:rPr>
          <w:rFonts w:hint="eastAsia"/>
        </w:rPr>
        <w:t>1.3.1 供应商</w:t>
      </w:r>
      <w:bookmarkEnd w:id="7"/>
    </w:p>
    <w:p>
      <w:pPr>
        <w:spacing w:line="360" w:lineRule="auto"/>
        <w:ind w:firstLine="640" w:firstLineChars="200"/>
        <w:rPr>
          <w:rFonts w:asciiTheme="minorEastAsia" w:hAnsiTheme="minorEastAsia" w:eastAsiaTheme="minorEastAsia" w:cstheme="minorEastAsia"/>
          <w:kern w:val="24"/>
          <w:szCs w:val="32"/>
        </w:rPr>
      </w:pPr>
      <w:r>
        <w:rPr>
          <w:rFonts w:hint="eastAsia"/>
        </w:rPr>
        <w:t>向国际</w:t>
      </w:r>
      <w:r>
        <w:rPr>
          <w:rFonts w:hint="eastAsia"/>
          <w:lang w:eastAsia="zh-CN"/>
        </w:rPr>
        <w:t>及港澳台</w:t>
      </w:r>
      <w:r>
        <w:rPr>
          <w:rFonts w:hint="eastAsia"/>
        </w:rPr>
        <w:t>航</w:t>
      </w:r>
      <w:r>
        <w:rPr>
          <w:rFonts w:hint="eastAsia"/>
          <w:lang w:eastAsia="zh-CN"/>
        </w:rPr>
        <w:t>空公司</w:t>
      </w:r>
      <w:r>
        <w:rPr>
          <w:rFonts w:hint="eastAsia"/>
        </w:rPr>
        <w:t>提供地面服务的中国机场、地服、物流、维修、餐食、航司等中国大陆供应商。</w:t>
      </w:r>
    </w:p>
    <w:p>
      <w:pPr>
        <w:pStyle w:val="4"/>
      </w:pPr>
      <w:bookmarkStart w:id="8" w:name="_Toc26076"/>
      <w:r>
        <w:rPr>
          <w:rFonts w:hint="eastAsia"/>
        </w:rPr>
        <w:t xml:space="preserve">1.3.2 </w:t>
      </w:r>
      <w:r>
        <w:rPr>
          <w:rFonts w:hint="eastAsia"/>
          <w:lang w:eastAsia="zh-CN"/>
        </w:rPr>
        <w:t>国际及港澳台航空</w:t>
      </w:r>
      <w:r>
        <w:rPr>
          <w:rFonts w:hint="eastAsia"/>
        </w:rPr>
        <w:t>公司</w:t>
      </w:r>
      <w:bookmarkEnd w:id="8"/>
    </w:p>
    <w:p>
      <w:pPr>
        <w:spacing w:line="360" w:lineRule="auto"/>
        <w:ind w:firstLine="640" w:firstLineChars="200"/>
        <w:rPr>
          <w:rFonts w:hint="eastAsia"/>
        </w:rPr>
      </w:pPr>
      <w:r>
        <w:rPr>
          <w:rFonts w:hint="eastAsia"/>
        </w:rPr>
        <w:t>是指合法注册地在我国境外</w:t>
      </w:r>
      <w:r>
        <w:rPr>
          <w:rFonts w:hint="eastAsia"/>
          <w:lang w:eastAsia="zh-CN"/>
        </w:rPr>
        <w:t>、及我国港澳台地区</w:t>
      </w:r>
      <w:r>
        <w:rPr>
          <w:rFonts w:hint="eastAsia"/>
        </w:rPr>
        <w:t>的民用航空运输企业。</w:t>
      </w:r>
    </w:p>
    <w:p>
      <w:pPr>
        <w:pStyle w:val="4"/>
      </w:pPr>
      <w:bookmarkStart w:id="9" w:name="_Toc12013"/>
      <w:r>
        <w:rPr>
          <w:rFonts w:hint="eastAsia"/>
        </w:rPr>
        <w:t>1.3.</w:t>
      </w:r>
      <w:r>
        <w:rPr>
          <w:rFonts w:hint="eastAsia"/>
          <w:lang w:val="en-US" w:eastAsia="zh-CN"/>
        </w:rPr>
        <w:t>3</w:t>
      </w:r>
      <w:r>
        <w:rPr>
          <w:rFonts w:hint="eastAsia"/>
        </w:rPr>
        <w:t xml:space="preserve"> 服务费结算代理商</w:t>
      </w:r>
      <w:bookmarkEnd w:id="9"/>
    </w:p>
    <w:p>
      <w:pPr>
        <w:spacing w:line="360" w:lineRule="auto"/>
        <w:ind w:firstLine="640" w:firstLineChars="200"/>
        <w:rPr>
          <w:rFonts w:hint="eastAsia"/>
        </w:rPr>
      </w:pPr>
      <w:r>
        <w:rPr>
          <w:rFonts w:hint="eastAsia"/>
        </w:rPr>
        <w:t>中国航空结算有限责任公司（以下简称“结算公司”）、具有合法资质并获</w:t>
      </w:r>
      <w:r>
        <w:rPr>
          <w:rFonts w:hint="eastAsia" w:ascii="仿宋" w:hAnsi="仿宋" w:eastAsia="仿宋" w:cs="仿宋"/>
          <w:sz w:val="32"/>
          <w:szCs w:val="32"/>
        </w:rPr>
        <w:t>国际及港澳台航空公司</w:t>
      </w:r>
      <w:r>
        <w:rPr>
          <w:rFonts w:hint="eastAsia"/>
        </w:rPr>
        <w:t>航空公司授权向供应商支付地面服务款项的法人单位。</w:t>
      </w:r>
    </w:p>
    <w:p>
      <w:pPr>
        <w:pStyle w:val="4"/>
      </w:pPr>
      <w:bookmarkStart w:id="10" w:name="_Toc10047"/>
      <w:r>
        <w:rPr>
          <w:rFonts w:hint="eastAsia"/>
        </w:rPr>
        <w:t>1.3.4 开账</w:t>
      </w:r>
      <w:r>
        <w:rPr>
          <w:rFonts w:hint="eastAsia"/>
          <w:lang w:eastAsia="zh-CN"/>
        </w:rPr>
        <w:t>周期</w:t>
      </w:r>
      <w:bookmarkEnd w:id="10"/>
    </w:p>
    <w:p>
      <w:pPr>
        <w:spacing w:line="360" w:lineRule="auto"/>
        <w:ind w:firstLine="640" w:firstLineChars="200"/>
        <w:rPr>
          <w:rFonts w:hint="eastAsia"/>
        </w:rPr>
      </w:pPr>
      <w:r>
        <w:rPr>
          <w:rFonts w:hint="eastAsia"/>
        </w:rPr>
        <w:t>开账</w:t>
      </w:r>
      <w:r>
        <w:rPr>
          <w:rFonts w:hint="eastAsia"/>
          <w:lang w:eastAsia="zh-CN"/>
        </w:rPr>
        <w:t>周期</w:t>
      </w:r>
      <w:r>
        <w:rPr>
          <w:rFonts w:hint="eastAsia"/>
        </w:rPr>
        <w:t xml:space="preserve">是指供应商与国际及港澳台航空公司共同约定的服务费结算周期。   </w:t>
      </w:r>
    </w:p>
    <w:p>
      <w:pPr>
        <w:pStyle w:val="4"/>
      </w:pPr>
      <w:bookmarkStart w:id="11" w:name="_Toc21480"/>
      <w:r>
        <w:rPr>
          <w:rFonts w:hint="eastAsia"/>
        </w:rPr>
        <w:t>1.3.</w:t>
      </w:r>
      <w:r>
        <w:rPr>
          <w:rFonts w:hint="eastAsia"/>
          <w:lang w:val="en-US" w:eastAsia="zh-CN"/>
        </w:rPr>
        <w:t>5</w:t>
      </w:r>
      <w:r>
        <w:rPr>
          <w:rFonts w:hint="eastAsia"/>
        </w:rPr>
        <w:t xml:space="preserve"> </w:t>
      </w:r>
      <w:r>
        <w:rPr>
          <w:rFonts w:hint="eastAsia"/>
          <w:lang w:eastAsia="zh-CN"/>
        </w:rPr>
        <w:t>预警线</w:t>
      </w:r>
      <w:bookmarkEnd w:id="11"/>
    </w:p>
    <w:p>
      <w:pPr>
        <w:spacing w:line="360" w:lineRule="auto"/>
        <w:ind w:firstLine="640" w:firstLineChars="200"/>
        <w:rPr>
          <w:rFonts w:hint="eastAsia" w:eastAsia="仿宋"/>
          <w:lang w:eastAsia="zh-CN"/>
        </w:rPr>
      </w:pPr>
      <w:r>
        <w:rPr>
          <w:rFonts w:hint="eastAsia"/>
          <w:lang w:eastAsia="zh-CN"/>
        </w:rPr>
        <w:t>预警线是供应商为加强资金风险监控设置的阀值，当客户资金低于该阀值时，将触发告警提示。</w:t>
      </w:r>
    </w:p>
    <w:p>
      <w:pPr>
        <w:pStyle w:val="4"/>
      </w:pPr>
      <w:bookmarkStart w:id="12" w:name="_Toc7300"/>
      <w:r>
        <w:rPr>
          <w:rFonts w:hint="eastAsia"/>
        </w:rPr>
        <w:t>1.3.</w:t>
      </w:r>
      <w:r>
        <w:rPr>
          <w:rFonts w:hint="eastAsia"/>
          <w:lang w:val="en-US" w:eastAsia="zh-CN"/>
        </w:rPr>
        <w:t>6</w:t>
      </w:r>
      <w:r>
        <w:rPr>
          <w:rFonts w:hint="eastAsia"/>
        </w:rPr>
        <w:t xml:space="preserve"> </w:t>
      </w:r>
      <w:r>
        <w:rPr>
          <w:rFonts w:hint="eastAsia"/>
          <w:lang w:eastAsia="zh-CN"/>
        </w:rPr>
        <w:t>主文件信息</w:t>
      </w:r>
      <w:bookmarkEnd w:id="12"/>
    </w:p>
    <w:p>
      <w:pPr>
        <w:widowControl/>
        <w:jc w:val="left"/>
        <w:rPr>
          <w:rFonts w:hint="eastAsia"/>
          <w:lang w:val="en-US" w:eastAsia="zh-CN"/>
        </w:rPr>
      </w:pPr>
      <w:r>
        <w:rPr>
          <w:rFonts w:hint="eastAsia"/>
          <w:lang w:val="en-US" w:eastAsia="zh-CN"/>
        </w:rPr>
        <w:t xml:space="preserve">    主文件信息包括但不限于以下几类信息，供应商、国际及港澳台航空公司、航空器、计费依据等信息。</w:t>
      </w:r>
    </w:p>
    <w:p>
      <w:pPr>
        <w:pStyle w:val="3"/>
        <w:rPr>
          <w:rFonts w:hint="eastAsia"/>
          <w:lang w:val="en-US" w:eastAsia="zh-CN"/>
        </w:rPr>
      </w:pPr>
      <w:bookmarkStart w:id="13" w:name="_Toc26774"/>
      <w:r>
        <w:rPr>
          <w:rFonts w:hint="eastAsia"/>
          <w:lang w:val="en-US" w:eastAsia="zh-CN"/>
        </w:rPr>
        <w:t>1.4现时结算模式流程</w:t>
      </w:r>
      <w:bookmarkEnd w:id="13"/>
      <w:r>
        <w:rPr>
          <w:rFonts w:hint="eastAsia"/>
          <w:lang w:val="en-US" w:eastAsia="zh-CN"/>
        </w:rPr>
        <w:t>示意图</w:t>
      </w:r>
    </w:p>
    <w:p>
      <w:pPr>
        <w:widowControl/>
        <w:jc w:val="left"/>
        <w:rPr>
          <w:rFonts w:hint="eastAsia"/>
          <w:lang w:val="en-US" w:eastAsia="zh-CN"/>
        </w:rPr>
      </w:pPr>
      <w:r>
        <w:rPr>
          <w:rFonts w:hint="eastAsia"/>
          <w:lang w:val="en-US" w:eastAsia="zh-CN"/>
        </w:rPr>
        <w:t xml:space="preserve">    现时结算模式流程示意图：</w:t>
      </w:r>
    </w:p>
    <w:p>
      <w:pPr>
        <w:rPr>
          <w:rFonts w:hint="eastAsia"/>
          <w:lang w:val="en-US" w:eastAsia="zh-CN"/>
        </w:rPr>
      </w:pPr>
      <w:r>
        <w:rPr>
          <w:rFonts w:hint="eastAsia"/>
          <w:lang w:val="en-US" w:eastAsia="zh-CN"/>
        </w:rPr>
        <w:t xml:space="preserve">     </w:t>
      </w:r>
      <w:r>
        <w:rPr>
          <w:rFonts w:hint="eastAsia"/>
          <w:lang w:val="en-US" w:eastAsia="zh-CN"/>
        </w:rPr>
        <w:drawing>
          <wp:anchor distT="0" distB="0" distL="114300" distR="114300" simplePos="0" relativeHeight="251659264" behindDoc="0" locked="0" layoutInCell="1" allowOverlap="1">
            <wp:simplePos x="0" y="0"/>
            <wp:positionH relativeFrom="column">
              <wp:posOffset>508000</wp:posOffset>
            </wp:positionH>
            <wp:positionV relativeFrom="paragraph">
              <wp:posOffset>85725</wp:posOffset>
            </wp:positionV>
            <wp:extent cx="4766310" cy="4580890"/>
            <wp:effectExtent l="0" t="0" r="15240" b="10160"/>
            <wp:wrapSquare wrapText="bothSides"/>
            <wp:docPr id="2" name="图片 2" descr="现时结算主流程图-黑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现时结算主流程图-黑白"/>
                    <pic:cNvPicPr>
                      <a:picLocks noChangeAspect="1"/>
                    </pic:cNvPicPr>
                  </pic:nvPicPr>
                  <pic:blipFill>
                    <a:blip r:embed="rId8"/>
                    <a:stretch>
                      <a:fillRect/>
                    </a:stretch>
                  </pic:blipFill>
                  <pic:spPr>
                    <a:xfrm>
                      <a:off x="0" y="0"/>
                      <a:ext cx="4766310" cy="4580890"/>
                    </a:xfrm>
                    <a:prstGeom prst="rect">
                      <a:avLst/>
                    </a:prstGeom>
                  </pic:spPr>
                </pic:pic>
              </a:graphicData>
            </a:graphic>
          </wp:anchor>
        </w:drawing>
      </w:r>
    </w:p>
    <w:p>
      <w:pPr>
        <w:rPr>
          <w:rFonts w:hint="eastAsia"/>
          <w:lang w:val="en-US" w:eastAsia="zh-CN"/>
        </w:rPr>
      </w:pPr>
    </w:p>
    <w:p>
      <w:pPr>
        <w:pStyle w:val="2"/>
      </w:pPr>
      <w:bookmarkStart w:id="14" w:name="_Toc7582"/>
      <w:r>
        <w:rPr>
          <w:rFonts w:hint="eastAsia"/>
        </w:rPr>
        <w:t xml:space="preserve">2 </w:t>
      </w:r>
      <w:r>
        <w:rPr>
          <w:rFonts w:hint="eastAsia"/>
          <w:lang w:eastAsia="zh-CN"/>
        </w:rPr>
        <w:t>主文件信息</w:t>
      </w:r>
      <w:r>
        <w:rPr>
          <w:rFonts w:hint="eastAsia"/>
        </w:rPr>
        <w:t>管理</w:t>
      </w:r>
      <w:bookmarkEnd w:id="14"/>
    </w:p>
    <w:p>
      <w:pPr>
        <w:pStyle w:val="3"/>
      </w:pPr>
      <w:bookmarkStart w:id="15" w:name="_Toc20990"/>
      <w:r>
        <w:rPr>
          <w:rFonts w:hint="eastAsia"/>
        </w:rPr>
        <w:t>2.1 供应商信息</w:t>
      </w:r>
      <w:r>
        <w:rPr>
          <w:rFonts w:hint="eastAsia"/>
          <w:lang w:eastAsia="zh-CN"/>
        </w:rPr>
        <w:t>管理</w:t>
      </w:r>
      <w:bookmarkEnd w:id="15"/>
    </w:p>
    <w:p>
      <w:pPr>
        <w:spacing w:line="360" w:lineRule="auto"/>
        <w:ind w:firstLine="640" w:firstLineChars="200"/>
        <w:rPr>
          <w:rFonts w:hint="eastAsia"/>
          <w:lang w:val="en-US" w:eastAsia="zh-CN"/>
        </w:rPr>
      </w:pPr>
      <w:r>
        <w:rPr>
          <w:rFonts w:hint="eastAsia"/>
          <w:lang w:val="en-US" w:eastAsia="zh-CN"/>
        </w:rPr>
        <w:t>对于供应商信息管理，遵循以下管理约定：</w:t>
      </w:r>
    </w:p>
    <w:p>
      <w:pPr>
        <w:spacing w:line="360" w:lineRule="auto"/>
        <w:ind w:firstLine="640" w:firstLineChars="200"/>
        <w:rPr>
          <w:rFonts w:hint="eastAsia"/>
        </w:rPr>
      </w:pPr>
      <w:r>
        <w:rPr>
          <w:rFonts w:hint="eastAsia"/>
          <w:lang w:val="en-US" w:eastAsia="zh-CN"/>
        </w:rPr>
        <w:t>1.</w:t>
      </w:r>
      <w:r>
        <w:rPr>
          <w:rFonts w:hint="eastAsia"/>
        </w:rPr>
        <w:t>供应商以书面加盖公章的方式向结算公司申请加入现时结算体系，必填信息包括：公司全称、收款银行全称及账号</w:t>
      </w:r>
      <w:r>
        <w:rPr>
          <w:rFonts w:hint="eastAsia"/>
          <w:lang w:eastAsia="zh-CN"/>
        </w:rPr>
        <w:t>信息。</w:t>
      </w:r>
    </w:p>
    <w:p>
      <w:pPr>
        <w:spacing w:line="360" w:lineRule="auto"/>
        <w:ind w:firstLine="640" w:firstLineChars="200"/>
        <w:rPr>
          <w:rFonts w:hint="eastAsia"/>
        </w:rPr>
      </w:pPr>
      <w:r>
        <w:rPr>
          <w:rFonts w:hint="eastAsia"/>
          <w:lang w:val="en-US" w:eastAsia="zh-CN"/>
        </w:rPr>
        <w:t>2.</w:t>
      </w:r>
      <w:r>
        <w:rPr>
          <w:rFonts w:hint="eastAsia"/>
        </w:rPr>
        <w:t>结算公司在收到来函后三个工作日内完成准入确认。</w:t>
      </w:r>
    </w:p>
    <w:p>
      <w:pPr>
        <w:spacing w:line="360" w:lineRule="auto"/>
        <w:ind w:firstLine="640" w:firstLineChars="200"/>
        <w:rPr>
          <w:rFonts w:asciiTheme="minorEastAsia" w:hAnsiTheme="minorEastAsia" w:eastAsiaTheme="minorEastAsia" w:cstheme="minorEastAsia"/>
          <w:kern w:val="24"/>
          <w:szCs w:val="32"/>
        </w:rPr>
      </w:pPr>
      <w:r>
        <w:rPr>
          <w:rFonts w:hint="eastAsia"/>
          <w:lang w:val="en-US" w:eastAsia="zh-CN"/>
        </w:rPr>
        <w:t>3.</w:t>
      </w:r>
      <w:r>
        <w:rPr>
          <w:rFonts w:hint="eastAsia"/>
        </w:rPr>
        <w:t>供应商如有任何信息变更，须以书面加盖公章</w:t>
      </w:r>
      <w:r>
        <w:rPr>
          <w:rFonts w:hint="eastAsia"/>
          <w:lang w:eastAsia="zh-CN"/>
        </w:rPr>
        <w:t>方式</w:t>
      </w:r>
      <w:r>
        <w:rPr>
          <w:rFonts w:hint="eastAsia"/>
        </w:rPr>
        <w:t>告知结算公司，同时前份信息作废。</w:t>
      </w:r>
    </w:p>
    <w:p>
      <w:pPr>
        <w:pStyle w:val="3"/>
      </w:pPr>
      <w:bookmarkStart w:id="16" w:name="_Toc7404"/>
      <w:r>
        <w:rPr>
          <w:rFonts w:hint="eastAsia"/>
        </w:rPr>
        <w:t>2.2 国际及港澳台航空公司信息</w:t>
      </w:r>
      <w:r>
        <w:rPr>
          <w:rFonts w:hint="eastAsia"/>
          <w:lang w:eastAsia="zh-CN"/>
        </w:rPr>
        <w:t>管理</w:t>
      </w:r>
      <w:bookmarkEnd w:id="16"/>
    </w:p>
    <w:p>
      <w:pPr>
        <w:spacing w:line="360" w:lineRule="auto"/>
        <w:ind w:firstLine="640" w:firstLineChars="200"/>
        <w:rPr>
          <w:rFonts w:hint="eastAsia"/>
        </w:rPr>
      </w:pPr>
      <w:r>
        <w:rPr>
          <w:rFonts w:hint="eastAsia"/>
          <w:lang w:val="en-US" w:eastAsia="zh-CN"/>
        </w:rPr>
        <w:t>对于</w:t>
      </w:r>
      <w:r>
        <w:rPr>
          <w:rFonts w:hint="eastAsia"/>
        </w:rPr>
        <w:t>国际及港澳台航空公司</w:t>
      </w:r>
      <w:r>
        <w:rPr>
          <w:rFonts w:hint="eastAsia"/>
          <w:lang w:val="en-US" w:eastAsia="zh-CN"/>
        </w:rPr>
        <w:t>信息管理，遵循以下管理约定：</w:t>
      </w:r>
    </w:p>
    <w:p>
      <w:pPr>
        <w:numPr>
          <w:ilvl w:val="0"/>
          <w:numId w:val="1"/>
        </w:numPr>
        <w:spacing w:line="360" w:lineRule="auto"/>
        <w:ind w:firstLine="640" w:firstLineChars="200"/>
        <w:rPr>
          <w:rFonts w:hint="eastAsia"/>
        </w:rPr>
      </w:pPr>
      <w:r>
        <w:rPr>
          <w:rFonts w:hint="eastAsia"/>
        </w:rPr>
        <w:t>国际及港澳台航空公司以书面加盖公章的方式向结算公司申请加入现时结算体系，必填信息包括：公司中英文全称、IATA两位字母代码、三位数字代码、供应商、联系地址、联系人、联系方式（电话、邮箱）、首笔预付款金额（人民币大小写）。</w:t>
      </w:r>
    </w:p>
    <w:p>
      <w:pPr>
        <w:numPr>
          <w:ilvl w:val="0"/>
          <w:numId w:val="1"/>
        </w:numPr>
        <w:spacing w:line="360" w:lineRule="auto"/>
        <w:ind w:firstLine="640" w:firstLineChars="200"/>
        <w:rPr>
          <w:rFonts w:asciiTheme="minorEastAsia" w:hAnsiTheme="minorEastAsia" w:eastAsiaTheme="minorEastAsia" w:cstheme="minorEastAsia"/>
          <w:kern w:val="24"/>
          <w:szCs w:val="32"/>
        </w:rPr>
      </w:pPr>
      <w:r>
        <w:rPr>
          <w:rFonts w:hint="eastAsia"/>
        </w:rPr>
        <w:t>结算公司在收到来函后三个工作日内完成审核。</w:t>
      </w:r>
    </w:p>
    <w:p>
      <w:pPr>
        <w:numPr>
          <w:ilvl w:val="0"/>
          <w:numId w:val="1"/>
        </w:numPr>
        <w:spacing w:line="360" w:lineRule="auto"/>
        <w:ind w:firstLine="640" w:firstLineChars="200"/>
        <w:rPr>
          <w:rFonts w:asciiTheme="minorEastAsia" w:hAnsiTheme="minorEastAsia" w:eastAsiaTheme="minorEastAsia" w:cstheme="minorEastAsia"/>
          <w:kern w:val="24"/>
          <w:szCs w:val="32"/>
        </w:rPr>
      </w:pPr>
      <w:r>
        <w:rPr>
          <w:rFonts w:hint="eastAsia"/>
        </w:rPr>
        <w:t>国际及港澳台航空公司如有任何信息变更，须以通知形式发送结算公司和供应商。</w:t>
      </w:r>
    </w:p>
    <w:p>
      <w:pPr>
        <w:pStyle w:val="3"/>
        <w:rPr>
          <w:rFonts w:hint="eastAsia"/>
        </w:rPr>
      </w:pPr>
      <w:bookmarkStart w:id="17" w:name="_Toc7333"/>
      <w:r>
        <w:rPr>
          <w:rFonts w:hint="eastAsia"/>
        </w:rPr>
        <w:t>2.3 航空器信息</w:t>
      </w:r>
      <w:r>
        <w:rPr>
          <w:rFonts w:hint="eastAsia"/>
          <w:lang w:eastAsia="zh-CN"/>
        </w:rPr>
        <w:t>管理</w:t>
      </w:r>
      <w:bookmarkEnd w:id="17"/>
    </w:p>
    <w:p>
      <w:pPr>
        <w:spacing w:line="360" w:lineRule="auto"/>
        <w:ind w:firstLine="640" w:firstLineChars="200"/>
        <w:rPr>
          <w:rFonts w:hint="eastAsia"/>
        </w:rPr>
      </w:pPr>
      <w:r>
        <w:rPr>
          <w:rFonts w:hint="eastAsia"/>
          <w:lang w:val="en-US" w:eastAsia="zh-CN"/>
        </w:rPr>
        <w:t>对于</w:t>
      </w:r>
      <w:r>
        <w:rPr>
          <w:rFonts w:hint="eastAsia"/>
          <w:lang w:eastAsia="zh-CN"/>
        </w:rPr>
        <w:t>航空器</w:t>
      </w:r>
      <w:r>
        <w:rPr>
          <w:rFonts w:hint="eastAsia"/>
          <w:lang w:val="en-US" w:eastAsia="zh-CN"/>
        </w:rPr>
        <w:t>信息管理，遵循以下管理约定：</w:t>
      </w:r>
    </w:p>
    <w:p>
      <w:pPr>
        <w:numPr>
          <w:ilvl w:val="0"/>
          <w:numId w:val="2"/>
        </w:numPr>
        <w:spacing w:line="360" w:lineRule="auto"/>
        <w:ind w:firstLine="640" w:firstLineChars="200"/>
        <w:rPr>
          <w:rFonts w:hint="eastAsia"/>
        </w:rPr>
      </w:pPr>
      <w:r>
        <w:rPr>
          <w:rFonts w:hint="eastAsia"/>
        </w:rPr>
        <w:t>国际及港澳台航空公司有责任及时向供应商提供航空器基本信息，包括：飞机注册号、机型、飞机最大起飞全重</w:t>
      </w:r>
      <w:r>
        <w:rPr>
          <w:rFonts w:hint="eastAsia"/>
          <w:lang w:eastAsia="zh-CN"/>
        </w:rPr>
        <w:t>、有效起止日期</w:t>
      </w:r>
      <w:r>
        <w:rPr>
          <w:rFonts w:hint="eastAsia"/>
        </w:rPr>
        <w:t>。</w:t>
      </w:r>
    </w:p>
    <w:p>
      <w:pPr>
        <w:numPr>
          <w:ilvl w:val="0"/>
          <w:numId w:val="2"/>
        </w:numPr>
        <w:spacing w:line="360" w:lineRule="auto"/>
        <w:ind w:firstLine="640" w:firstLineChars="200"/>
        <w:rPr>
          <w:color w:val="auto"/>
        </w:rPr>
      </w:pPr>
      <w:r>
        <w:rPr>
          <w:rFonts w:hint="eastAsia"/>
          <w:color w:val="auto"/>
        </w:rPr>
        <w:t>如有变更应及时提供更新信息</w:t>
      </w:r>
      <w:r>
        <w:rPr>
          <w:rFonts w:hint="eastAsia"/>
          <w:color w:val="auto"/>
          <w:lang w:eastAsia="zh-CN"/>
        </w:rPr>
        <w:t>，如未提供，将参照该机型“最大起飞全重”最大值作为计费依据。</w:t>
      </w:r>
    </w:p>
    <w:p>
      <w:pPr>
        <w:numPr>
          <w:ilvl w:val="0"/>
          <w:numId w:val="2"/>
        </w:numPr>
        <w:spacing w:line="360" w:lineRule="auto"/>
        <w:ind w:firstLine="640" w:firstLineChars="200"/>
      </w:pPr>
      <w:r>
        <w:rPr>
          <w:rFonts w:hint="eastAsia"/>
          <w:lang w:eastAsia="zh-CN"/>
        </w:rPr>
        <w:t>如同一份航空器信息文件中，同一飞机注册号含多个最大起飞全重时，按与供应商约定的相关政策性文件进行计费。</w:t>
      </w:r>
    </w:p>
    <w:p>
      <w:pPr>
        <w:spacing w:line="360" w:lineRule="auto"/>
        <w:ind w:firstLine="640" w:firstLineChars="200"/>
        <w:rPr>
          <w:rFonts w:hint="eastAsia" w:eastAsia="仿宋"/>
          <w:lang w:val="en-US" w:eastAsia="zh-CN"/>
        </w:rPr>
      </w:pPr>
      <w:r>
        <w:rPr>
          <w:rFonts w:hint="eastAsia"/>
          <w:lang w:val="en-US" w:eastAsia="zh-CN"/>
        </w:rPr>
        <w:t xml:space="preserve">4. </w:t>
      </w:r>
      <w:r>
        <w:rPr>
          <w:rFonts w:hint="eastAsia"/>
        </w:rPr>
        <w:t>国际及港澳台航空公司应每年末向结算公司</w:t>
      </w:r>
      <w:r>
        <w:rPr>
          <w:rFonts w:hint="eastAsia"/>
          <w:lang w:eastAsia="zh-CN"/>
        </w:rPr>
        <w:t>更新</w:t>
      </w:r>
      <w:r>
        <w:rPr>
          <w:rFonts w:hint="eastAsia"/>
        </w:rPr>
        <w:t>机队信息、MSN代码对照表、飞机飞行手册</w:t>
      </w:r>
      <w:r>
        <w:rPr>
          <w:rFonts w:hint="eastAsia"/>
          <w:lang w:eastAsia="zh-CN"/>
        </w:rPr>
        <w:t>、由中国民航局颁发的适航证</w:t>
      </w:r>
      <w:r>
        <w:rPr>
          <w:rFonts w:hint="eastAsia"/>
        </w:rPr>
        <w:t>等航空器基本信息。</w:t>
      </w:r>
    </w:p>
    <w:p>
      <w:pPr>
        <w:pStyle w:val="3"/>
      </w:pPr>
      <w:bookmarkStart w:id="18" w:name="_Toc29147"/>
      <w:r>
        <w:rPr>
          <w:rFonts w:hint="eastAsia"/>
        </w:rPr>
        <w:t>2.4 计费依据</w:t>
      </w:r>
      <w:r>
        <w:rPr>
          <w:rFonts w:hint="eastAsia"/>
          <w:lang w:eastAsia="zh-CN"/>
        </w:rPr>
        <w:t>管理</w:t>
      </w:r>
      <w:bookmarkEnd w:id="18"/>
    </w:p>
    <w:p>
      <w:pPr>
        <w:spacing w:line="360" w:lineRule="auto"/>
        <w:ind w:firstLine="640" w:firstLineChars="200"/>
        <w:rPr>
          <w:rFonts w:asciiTheme="minorEastAsia" w:hAnsiTheme="minorEastAsia" w:eastAsiaTheme="minorEastAsia" w:cstheme="minorEastAsia"/>
          <w:kern w:val="24"/>
          <w:szCs w:val="32"/>
        </w:rPr>
      </w:pPr>
      <w:r>
        <w:rPr>
          <w:rFonts w:hint="eastAsia"/>
        </w:rPr>
        <w:t>供应商有责任</w:t>
      </w:r>
      <w:r>
        <w:rPr>
          <w:rFonts w:hint="eastAsia"/>
          <w:lang w:eastAsia="zh-CN"/>
        </w:rPr>
        <w:t>以书面方式</w:t>
      </w:r>
      <w:r>
        <w:rPr>
          <w:rFonts w:hint="eastAsia"/>
        </w:rPr>
        <w:t>及时向结算公司提供有效期内的服务费基本费率、优惠等情况，如有变更应及时提供更新信息。</w:t>
      </w:r>
    </w:p>
    <w:p>
      <w:pPr>
        <w:pStyle w:val="3"/>
      </w:pPr>
      <w:bookmarkStart w:id="19" w:name="_Toc21316"/>
      <w:r>
        <w:rPr>
          <w:rFonts w:hint="eastAsia"/>
        </w:rPr>
        <w:t xml:space="preserve">2.5 </w:t>
      </w:r>
      <w:r>
        <w:rPr>
          <w:rFonts w:hint="eastAsia"/>
          <w:lang w:eastAsia="zh-CN"/>
        </w:rPr>
        <w:t>开账周期</w:t>
      </w:r>
      <w:r>
        <w:rPr>
          <w:rFonts w:hint="eastAsia"/>
        </w:rPr>
        <w:t>设置</w:t>
      </w:r>
      <w:bookmarkEnd w:id="19"/>
    </w:p>
    <w:p>
      <w:pPr>
        <w:spacing w:line="360" w:lineRule="auto"/>
        <w:rPr>
          <w:rFonts w:asciiTheme="minorEastAsia" w:hAnsiTheme="minorEastAsia" w:eastAsiaTheme="minorEastAsia" w:cstheme="minorEastAsia"/>
          <w:kern w:val="24"/>
          <w:szCs w:val="32"/>
        </w:rPr>
      </w:pPr>
      <w:r>
        <w:rPr>
          <w:rFonts w:hint="eastAsia"/>
          <w:lang w:val="en-US" w:eastAsia="zh-CN"/>
        </w:rPr>
        <w:t xml:space="preserve">   供应商按照与</w:t>
      </w:r>
      <w:r>
        <w:rPr>
          <w:rFonts w:hint="eastAsia"/>
        </w:rPr>
        <w:t>国际及港澳台航空公司约定的</w:t>
      </w:r>
      <w:r>
        <w:rPr>
          <w:rFonts w:hint="eastAsia"/>
          <w:lang w:eastAsia="zh-CN"/>
        </w:rPr>
        <w:t>开账周期进行配置，可选择</w:t>
      </w:r>
      <w:r>
        <w:rPr>
          <w:rFonts w:hint="eastAsia"/>
        </w:rPr>
        <w:t>自然月、半月、周、日</w:t>
      </w:r>
      <w:r>
        <w:rPr>
          <w:rFonts w:hint="eastAsia"/>
          <w:lang w:eastAsia="zh-CN"/>
        </w:rPr>
        <w:t>等不同的周期进行设置</w:t>
      </w:r>
      <w:r>
        <w:rPr>
          <w:rFonts w:hint="eastAsia"/>
        </w:rPr>
        <w:t>。</w:t>
      </w:r>
    </w:p>
    <w:p>
      <w:pPr>
        <w:pStyle w:val="3"/>
      </w:pPr>
      <w:bookmarkStart w:id="20" w:name="_Toc12635"/>
      <w:r>
        <w:rPr>
          <w:rFonts w:hint="eastAsia"/>
        </w:rPr>
        <w:t>2.6 预警线设置</w:t>
      </w:r>
      <w:bookmarkEnd w:id="20"/>
    </w:p>
    <w:p>
      <w:pPr>
        <w:spacing w:line="360" w:lineRule="auto"/>
        <w:ind w:firstLine="640" w:firstLineChars="200"/>
        <w:rPr>
          <w:rFonts w:asciiTheme="minorEastAsia" w:hAnsiTheme="minorEastAsia" w:eastAsiaTheme="minorEastAsia" w:cstheme="minorEastAsia"/>
          <w:kern w:val="24"/>
          <w:szCs w:val="32"/>
        </w:rPr>
      </w:pPr>
      <w:r>
        <w:rPr>
          <w:rFonts w:hint="eastAsia"/>
        </w:rPr>
        <w:t>供应商在对国际及港澳台航空公司开账前应依据航司信用等级、预计航班量设置资金预警线，当国际及港澳台航空公司预付款金额</w:t>
      </w:r>
      <w:r>
        <w:rPr>
          <w:rFonts w:hint="eastAsia"/>
          <w:lang w:val="en-US" w:eastAsia="zh-CN"/>
        </w:rPr>
        <w:t>触及</w:t>
      </w:r>
      <w:r>
        <w:rPr>
          <w:rFonts w:hint="eastAsia"/>
        </w:rPr>
        <w:t>预警线时启动预警机制。</w:t>
      </w:r>
    </w:p>
    <w:p>
      <w:pPr>
        <w:pStyle w:val="3"/>
      </w:pPr>
      <w:bookmarkStart w:id="21" w:name="_Toc24531"/>
      <w:r>
        <w:rPr>
          <w:rFonts w:hint="eastAsia"/>
        </w:rPr>
        <w:t>2.7 预警联系人设置</w:t>
      </w:r>
      <w:bookmarkEnd w:id="21"/>
    </w:p>
    <w:p>
      <w:pPr>
        <w:spacing w:line="360" w:lineRule="auto"/>
        <w:ind w:firstLine="640" w:firstLineChars="200"/>
      </w:pPr>
      <w:r>
        <w:rPr>
          <w:rFonts w:hint="eastAsia"/>
        </w:rPr>
        <w:t>供应商应及时设置资金预警联系人，作为启动预警机制时的第一联系人。</w:t>
      </w:r>
    </w:p>
    <w:p>
      <w:pPr>
        <w:pStyle w:val="2"/>
        <w:rPr>
          <w:rFonts w:hint="eastAsia"/>
        </w:rPr>
      </w:pPr>
      <w:bookmarkStart w:id="22" w:name="_Toc19229"/>
      <w:r>
        <w:rPr>
          <w:rFonts w:hint="eastAsia"/>
        </w:rPr>
        <w:t>3 结算管理</w:t>
      </w:r>
      <w:bookmarkEnd w:id="22"/>
    </w:p>
    <w:p/>
    <w:p>
      <w:pPr>
        <w:pStyle w:val="3"/>
        <w:rPr>
          <w:rFonts w:hint="eastAsia"/>
        </w:rPr>
      </w:pPr>
      <w:bookmarkStart w:id="23" w:name="_Toc29276"/>
      <w:r>
        <w:rPr>
          <w:rFonts w:hint="eastAsia"/>
        </w:rPr>
        <w:t>3.1 供应商收入管理</w:t>
      </w:r>
      <w:bookmarkEnd w:id="23"/>
    </w:p>
    <w:p>
      <w:pPr>
        <w:rPr>
          <w:rFonts w:hint="eastAsia" w:eastAsia="仿宋"/>
          <w:lang w:val="en-US" w:eastAsia="zh-CN"/>
        </w:rPr>
      </w:pPr>
      <w:r>
        <w:rPr>
          <w:rFonts w:hint="eastAsia"/>
          <w:lang w:val="en-US" w:eastAsia="zh-CN"/>
        </w:rPr>
        <w:t xml:space="preserve">    对于供应商收入管理遵循以下约定：</w:t>
      </w:r>
    </w:p>
    <w:p>
      <w:pPr>
        <w:ind w:firstLine="640" w:firstLineChars="200"/>
      </w:pPr>
      <w:r>
        <w:rPr>
          <w:rFonts w:hint="eastAsia"/>
        </w:rPr>
        <w:t>1. 供应商按照开账周期设置要求，将符合《现时结算数据规范技术指南》格式要求的开账数据上传至现时结算平台</w:t>
      </w:r>
    </w:p>
    <w:p>
      <w:pPr>
        <w:ind w:firstLine="640" w:firstLineChars="200"/>
      </w:pPr>
      <w:r>
        <w:rPr>
          <w:rFonts w:hint="eastAsia"/>
        </w:rPr>
        <w:t>2. 由平台根据计费依据计算费用，并按照规则生成账单。</w:t>
      </w:r>
    </w:p>
    <w:p>
      <w:pPr>
        <w:ind w:firstLine="640" w:firstLineChars="200"/>
      </w:pPr>
      <w:r>
        <w:rPr>
          <w:rFonts w:hint="eastAsia"/>
        </w:rPr>
        <w:t>3. 现时结算平台根据账单金额，发出划款指令，对结算双方结算金额进行资金划拨，对接划款结果，实时对两方的现时结算账户余额进行更新并通知用户。</w:t>
      </w:r>
    </w:p>
    <w:p>
      <w:pPr>
        <w:pStyle w:val="3"/>
      </w:pPr>
      <w:bookmarkStart w:id="24" w:name="_Toc6589"/>
      <w:r>
        <w:rPr>
          <w:rFonts w:hint="eastAsia"/>
        </w:rPr>
        <w:t>3.2 国际及港澳台航空公司拒付管理</w:t>
      </w:r>
      <w:bookmarkEnd w:id="24"/>
    </w:p>
    <w:p>
      <w:pPr>
        <w:spacing w:line="360" w:lineRule="auto"/>
        <w:ind w:firstLine="640" w:firstLineChars="200"/>
      </w:pPr>
      <w:r>
        <w:rPr>
          <w:rFonts w:hint="eastAsia"/>
        </w:rPr>
        <w:t>现时结算平台对已出服务费账单实行“先付款、后审核”的资金流动机制，国际及港澳台航空公司对账单有异议时应先完成支付账单全款，再提出拒付申请。拒付过程对国际及港澳台航空公司和供应商均具有时效性，具体如下：</w:t>
      </w:r>
    </w:p>
    <w:p>
      <w:pPr>
        <w:spacing w:line="360" w:lineRule="auto"/>
        <w:ind w:firstLine="640" w:firstLineChars="200"/>
      </w:pPr>
      <w:r>
        <w:rPr>
          <w:rFonts w:hint="eastAsia"/>
        </w:rPr>
        <w:t>1、国际及港澳台航空公司应在收到账单30</w:t>
      </w:r>
      <w:r>
        <w:rPr>
          <w:rFonts w:hint="eastAsia"/>
          <w:lang w:val="en-US" w:eastAsia="zh-CN"/>
        </w:rPr>
        <w:t>自然日</w:t>
      </w:r>
      <w:r>
        <w:rPr>
          <w:rFonts w:hint="eastAsia"/>
        </w:rPr>
        <w:t>内通过现时结算平台提出拒付申请及金额，超期拒付无效。账单在现时结算平台生成完毕即视为国际及港澳台航空公司收到账单。</w:t>
      </w:r>
    </w:p>
    <w:p>
      <w:pPr>
        <w:spacing w:line="360" w:lineRule="auto"/>
        <w:ind w:firstLine="640" w:firstLineChars="200"/>
      </w:pPr>
      <w:r>
        <w:rPr>
          <w:rFonts w:hint="eastAsia"/>
        </w:rPr>
        <w:t>2、供应商应在收到国际及港澳台航空公司拒付申请后30</w:t>
      </w:r>
      <w:r>
        <w:rPr>
          <w:rFonts w:hint="eastAsia"/>
          <w:lang w:val="en-US" w:eastAsia="zh-CN"/>
        </w:rPr>
        <w:t>自然日</w:t>
      </w:r>
      <w:r>
        <w:rPr>
          <w:rFonts w:hint="eastAsia"/>
        </w:rPr>
        <w:t>内进行核实确认，超期作接受拒付处理。拒付申请在现时结算平台提交完毕即视为供应商收到国际及港澳台航空公司拒付申请。</w:t>
      </w:r>
    </w:p>
    <w:p>
      <w:pPr>
        <w:spacing w:line="360" w:lineRule="auto"/>
        <w:ind w:firstLine="640" w:firstLineChars="200"/>
        <w:rPr>
          <w:rFonts w:asciiTheme="minorEastAsia" w:hAnsiTheme="minorEastAsia" w:eastAsiaTheme="minorEastAsia" w:cstheme="minorEastAsia"/>
          <w:kern w:val="24"/>
          <w:szCs w:val="32"/>
        </w:rPr>
      </w:pPr>
      <w:r>
        <w:rPr>
          <w:rFonts w:hint="eastAsia"/>
        </w:rPr>
        <w:t>供应商与国际及港澳台航空公司对拒付项目及金额达成一致后，由结算公司做后续账单处理，资金进入下一开账周期进行抵扣。结算公司有权在整个拒付过程进行管控及业务沟通处理。</w:t>
      </w:r>
    </w:p>
    <w:p>
      <w:pPr>
        <w:pStyle w:val="2"/>
      </w:pPr>
      <w:bookmarkStart w:id="25" w:name="_Toc752"/>
      <w:r>
        <w:rPr>
          <w:rFonts w:hint="eastAsia"/>
        </w:rPr>
        <w:t>4 资金管理</w:t>
      </w:r>
      <w:bookmarkEnd w:id="25"/>
    </w:p>
    <w:p>
      <w:pPr>
        <w:pStyle w:val="3"/>
      </w:pPr>
      <w:bookmarkStart w:id="26" w:name="_Toc17732"/>
      <w:r>
        <w:rPr>
          <w:rFonts w:hint="eastAsia"/>
        </w:rPr>
        <w:t>4.1 资金充值</w:t>
      </w:r>
      <w:bookmarkEnd w:id="26"/>
    </w:p>
    <w:p>
      <w:pPr>
        <w:pStyle w:val="4"/>
      </w:pPr>
      <w:bookmarkStart w:id="27" w:name="_Toc28848"/>
      <w:r>
        <w:rPr>
          <w:rFonts w:hint="eastAsia"/>
        </w:rPr>
        <w:t>4.1.1 首次充值</w:t>
      </w:r>
      <w:bookmarkEnd w:id="27"/>
    </w:p>
    <w:p>
      <w:pPr>
        <w:spacing w:line="360" w:lineRule="auto"/>
        <w:ind w:firstLine="640" w:firstLineChars="200"/>
      </w:pPr>
      <w:r>
        <w:rPr>
          <w:rFonts w:hint="eastAsia"/>
        </w:rPr>
        <w:t>国际及港澳台航空公司须在与供应商签订服务保障协议后、航班正式运营前，按照协议约定的金额将预付款项汇入该航司的现时结算账户。</w:t>
      </w:r>
    </w:p>
    <w:p>
      <w:pPr>
        <w:pStyle w:val="4"/>
      </w:pPr>
      <w:bookmarkStart w:id="28" w:name="_Toc4771"/>
      <w:r>
        <w:rPr>
          <w:rFonts w:hint="eastAsia"/>
        </w:rPr>
        <w:t>4.1.2 日常充值</w:t>
      </w:r>
      <w:bookmarkEnd w:id="28"/>
    </w:p>
    <w:p>
      <w:pPr>
        <w:spacing w:line="360" w:lineRule="auto"/>
        <w:ind w:firstLine="640" w:firstLineChars="200"/>
        <w:rPr>
          <w:rFonts w:asciiTheme="minorEastAsia" w:hAnsiTheme="minorEastAsia" w:eastAsiaTheme="minorEastAsia" w:cstheme="minorEastAsia"/>
          <w:kern w:val="24"/>
          <w:szCs w:val="32"/>
        </w:rPr>
      </w:pPr>
      <w:r>
        <w:rPr>
          <w:rFonts w:hint="eastAsia"/>
        </w:rPr>
        <w:t>国际及港澳台航空公司在收到现时结算平台发出的账单后，应及时充值预付款至该航司现时结算账户，以保障账单款顺利划拨至供应商现时结算账户。账单在现时结算平台生成完毕即视为国际及港澳台航空公司收到账单。</w:t>
      </w:r>
    </w:p>
    <w:p>
      <w:pPr>
        <w:pStyle w:val="3"/>
      </w:pPr>
      <w:bookmarkStart w:id="29" w:name="_Toc3541"/>
      <w:r>
        <w:rPr>
          <w:rFonts w:hint="eastAsia"/>
        </w:rPr>
        <w:t>4.2 资金划转</w:t>
      </w:r>
      <w:bookmarkEnd w:id="29"/>
    </w:p>
    <w:p>
      <w:pPr>
        <w:spacing w:line="360" w:lineRule="auto"/>
        <w:ind w:firstLine="640" w:firstLineChars="200"/>
        <w:rPr>
          <w:rFonts w:asciiTheme="minorEastAsia" w:hAnsiTheme="minorEastAsia" w:eastAsiaTheme="minorEastAsia" w:cstheme="minorEastAsia"/>
          <w:kern w:val="24"/>
          <w:szCs w:val="32"/>
        </w:rPr>
      </w:pPr>
      <w:r>
        <w:rPr>
          <w:rFonts w:hint="eastAsia"/>
        </w:rPr>
        <w:t>结算公司在供应商生成服务费账单后，应按实时从国际及港澳台航空公司（即“被收款方”）现时结算账户划拨账单款至供应商现时结算账户，并通知国际及港澳台航空公司扣款情况、充值预付款提示。</w:t>
      </w:r>
    </w:p>
    <w:p>
      <w:pPr>
        <w:pStyle w:val="3"/>
      </w:pPr>
      <w:bookmarkStart w:id="30" w:name="_Toc20500"/>
      <w:r>
        <w:rPr>
          <w:rFonts w:hint="eastAsia"/>
        </w:rPr>
        <w:t>4.3 资金提现</w:t>
      </w:r>
      <w:bookmarkEnd w:id="30"/>
    </w:p>
    <w:p>
      <w:pPr>
        <w:spacing w:line="360" w:lineRule="auto"/>
        <w:ind w:firstLine="640" w:firstLineChars="200"/>
        <w:rPr>
          <w:rFonts w:asciiTheme="minorEastAsia" w:hAnsiTheme="minorEastAsia" w:eastAsiaTheme="minorEastAsia" w:cstheme="minorEastAsia"/>
          <w:kern w:val="24"/>
          <w:szCs w:val="32"/>
        </w:rPr>
      </w:pPr>
      <w:r>
        <w:rPr>
          <w:rFonts w:hint="eastAsia"/>
        </w:rPr>
        <w:t>供应商可在现时结算平台实时提取收入至已备案银行账户，提现金额不得超过其现时结算账户内余额，法定节假日或特殊情况的提现时间顺延。</w:t>
      </w:r>
    </w:p>
    <w:p>
      <w:pPr>
        <w:pStyle w:val="3"/>
        <w:rPr>
          <w:rFonts w:hint="eastAsia"/>
          <w:lang w:val="en-US" w:eastAsia="zh-CN"/>
        </w:rPr>
      </w:pPr>
      <w:bookmarkStart w:id="31" w:name="_Toc10503"/>
      <w:r>
        <w:rPr>
          <w:rFonts w:hint="eastAsia"/>
        </w:rPr>
        <w:t>4.4 滞纳金计算方式</w:t>
      </w:r>
      <w:bookmarkEnd w:id="31"/>
      <w:r>
        <w:rPr>
          <w:rFonts w:hint="eastAsia"/>
          <w:lang w:val="en-US" w:eastAsia="zh-CN"/>
        </w:rPr>
        <w:t xml:space="preserve"> </w:t>
      </w:r>
    </w:p>
    <w:p>
      <w:pPr>
        <w:spacing w:line="360" w:lineRule="auto"/>
        <w:ind w:firstLine="640" w:firstLineChars="200"/>
        <w:rPr>
          <w:rFonts w:asciiTheme="minorEastAsia" w:hAnsiTheme="minorEastAsia" w:eastAsiaTheme="minorEastAsia" w:cstheme="minorEastAsia"/>
          <w:kern w:val="24"/>
          <w:szCs w:val="32"/>
        </w:rPr>
      </w:pPr>
      <w:r>
        <w:rPr>
          <w:rFonts w:hint="eastAsia"/>
        </w:rPr>
        <w:t>国际及港澳台航空公司</w:t>
      </w:r>
      <w:r>
        <w:rPr>
          <w:rFonts w:hint="eastAsia"/>
          <w:lang w:val="en-US" w:eastAsia="zh-CN"/>
        </w:rPr>
        <w:t>迟付滞纳金按照其与供应商约定的规则及费率进行计收。</w:t>
      </w:r>
    </w:p>
    <w:p>
      <w:pPr>
        <w:pStyle w:val="2"/>
        <w:rPr>
          <w:rFonts w:asciiTheme="minorEastAsia" w:hAnsiTheme="minorEastAsia" w:eastAsiaTheme="minorEastAsia" w:cstheme="minorEastAsia"/>
          <w:kern w:val="24"/>
          <w:sz w:val="32"/>
          <w:szCs w:val="32"/>
        </w:rPr>
      </w:pPr>
      <w:bookmarkStart w:id="32" w:name="_Toc19850"/>
      <w:r>
        <w:rPr>
          <w:rFonts w:hint="eastAsia"/>
        </w:rPr>
        <w:t>5 预警机制</w:t>
      </w:r>
      <w:bookmarkEnd w:id="32"/>
    </w:p>
    <w:p>
      <w:pPr>
        <w:pStyle w:val="3"/>
      </w:pPr>
      <w:bookmarkStart w:id="33" w:name="_Toc26265"/>
      <w:r>
        <w:rPr>
          <w:rFonts w:hint="eastAsia"/>
        </w:rPr>
        <w:t>5.1 预警分类</w:t>
      </w:r>
      <w:bookmarkEnd w:id="33"/>
    </w:p>
    <w:p>
      <w:pPr>
        <w:pStyle w:val="4"/>
      </w:pPr>
      <w:bookmarkStart w:id="34" w:name="_Toc2453"/>
      <w:r>
        <w:rPr>
          <w:rFonts w:hint="eastAsia"/>
        </w:rPr>
        <w:t xml:space="preserve">5.1.1 </w:t>
      </w:r>
      <w:r>
        <w:rPr>
          <w:rFonts w:hint="eastAsia"/>
          <w:lang w:val="en-US" w:eastAsia="zh-CN"/>
        </w:rPr>
        <w:t>一般</w:t>
      </w:r>
      <w:r>
        <w:rPr>
          <w:rFonts w:hint="eastAsia"/>
        </w:rPr>
        <w:t>预警</w:t>
      </w:r>
      <w:bookmarkEnd w:id="34"/>
    </w:p>
    <w:p>
      <w:pPr>
        <w:spacing w:line="360" w:lineRule="auto"/>
        <w:ind w:firstLine="640" w:firstLineChars="200"/>
      </w:pPr>
      <w:r>
        <w:rPr>
          <w:rFonts w:hint="eastAsia"/>
          <w:lang w:val="en-US" w:eastAsia="zh-CN"/>
        </w:rPr>
        <w:t>当国际及港澳台航空公司现时结算账户余额低至预警线时，启动一般预警。</w:t>
      </w:r>
    </w:p>
    <w:p>
      <w:pPr>
        <w:pStyle w:val="4"/>
      </w:pPr>
      <w:bookmarkStart w:id="35" w:name="_Toc4183"/>
      <w:r>
        <w:rPr>
          <w:rFonts w:hint="eastAsia"/>
        </w:rPr>
        <w:t xml:space="preserve">5.1.2 </w:t>
      </w:r>
      <w:r>
        <w:rPr>
          <w:rFonts w:hint="eastAsia"/>
          <w:lang w:val="en-US" w:eastAsia="zh-CN"/>
        </w:rPr>
        <w:t>严重</w:t>
      </w:r>
      <w:r>
        <w:rPr>
          <w:rFonts w:hint="eastAsia"/>
        </w:rPr>
        <w:t>预警</w:t>
      </w:r>
      <w:bookmarkEnd w:id="35"/>
    </w:p>
    <w:p>
      <w:pPr>
        <w:spacing w:line="360" w:lineRule="auto"/>
        <w:ind w:firstLine="640" w:firstLineChars="200"/>
      </w:pPr>
      <w:r>
        <w:rPr>
          <w:rFonts w:hint="eastAsia"/>
        </w:rPr>
        <w:t>当国际及港澳台航空公司</w:t>
      </w:r>
      <w:r>
        <w:rPr>
          <w:rFonts w:hint="eastAsia"/>
          <w:lang w:val="en-US" w:eastAsia="zh-CN"/>
        </w:rPr>
        <w:t>现时结算</w:t>
      </w:r>
      <w:r>
        <w:rPr>
          <w:rFonts w:hint="eastAsia"/>
        </w:rPr>
        <w:t>账户余额低于其账单周期平均值时，启动</w:t>
      </w:r>
      <w:r>
        <w:rPr>
          <w:rFonts w:hint="eastAsia"/>
          <w:lang w:val="en-US" w:eastAsia="zh-CN"/>
        </w:rPr>
        <w:t>严重</w:t>
      </w:r>
      <w:r>
        <w:rPr>
          <w:rFonts w:hint="eastAsia"/>
        </w:rPr>
        <w:t>预警</w:t>
      </w:r>
      <w:r>
        <w:rPr>
          <w:rFonts w:hint="eastAsia"/>
          <w:lang w:eastAsia="zh-CN"/>
        </w:rPr>
        <w:t>。</w:t>
      </w:r>
    </w:p>
    <w:p>
      <w:pPr>
        <w:pStyle w:val="3"/>
        <w:rPr>
          <w:rFonts w:hint="eastAsia"/>
        </w:rPr>
      </w:pPr>
      <w:bookmarkStart w:id="36" w:name="_Toc15968"/>
      <w:r>
        <w:rPr>
          <w:rFonts w:hint="eastAsia"/>
        </w:rPr>
        <w:t>5.2 预警处置</w:t>
      </w:r>
      <w:bookmarkEnd w:id="36"/>
    </w:p>
    <w:p>
      <w:pPr>
        <w:pStyle w:val="4"/>
        <w:rPr>
          <w:rFonts w:hint="eastAsia"/>
        </w:rPr>
      </w:pPr>
      <w:bookmarkStart w:id="37" w:name="_Toc30984"/>
      <w:r>
        <w:rPr>
          <w:rFonts w:hint="eastAsia"/>
        </w:rPr>
        <w:t>5.</w:t>
      </w:r>
      <w:r>
        <w:rPr>
          <w:rFonts w:hint="eastAsia"/>
          <w:lang w:val="en-US" w:eastAsia="zh-CN"/>
        </w:rPr>
        <w:t>2</w:t>
      </w:r>
      <w:r>
        <w:rPr>
          <w:rFonts w:hint="eastAsia"/>
        </w:rPr>
        <w:t xml:space="preserve">.1 </w:t>
      </w:r>
      <w:r>
        <w:rPr>
          <w:rFonts w:hint="eastAsia"/>
          <w:lang w:val="en-US" w:eastAsia="zh-CN"/>
        </w:rPr>
        <w:t>一般</w:t>
      </w:r>
      <w:r>
        <w:rPr>
          <w:rFonts w:hint="eastAsia"/>
        </w:rPr>
        <w:t>预警</w:t>
      </w:r>
      <w:r>
        <w:rPr>
          <w:rFonts w:hint="eastAsia"/>
          <w:lang w:val="en-US" w:eastAsia="zh-CN"/>
        </w:rPr>
        <w:t>处置</w:t>
      </w:r>
      <w:bookmarkEnd w:id="37"/>
    </w:p>
    <w:p>
      <w:pPr>
        <w:spacing w:line="360" w:lineRule="auto"/>
        <w:ind w:firstLine="640" w:firstLineChars="200"/>
      </w:pPr>
      <w:r>
        <w:rPr>
          <w:rFonts w:hint="eastAsia"/>
          <w:lang w:val="en-US" w:eastAsia="zh-CN"/>
        </w:rPr>
        <w:t xml:space="preserve">   一般预警启动时，</w:t>
      </w:r>
      <w:r>
        <w:rPr>
          <w:rFonts w:hint="eastAsia"/>
        </w:rPr>
        <w:t>结算公司进行账款催收工作，并通报该国际及港澳台航空公司所执飞机场，所涉及供应商应配合结算公司进行账款催收并采取一定措施。</w:t>
      </w:r>
    </w:p>
    <w:p>
      <w:pPr>
        <w:pStyle w:val="4"/>
        <w:rPr>
          <w:rFonts w:hint="eastAsia"/>
        </w:rPr>
      </w:pPr>
      <w:bookmarkStart w:id="38" w:name="_Toc6073"/>
      <w:r>
        <w:rPr>
          <w:rFonts w:hint="eastAsia"/>
        </w:rPr>
        <w:t>5.</w:t>
      </w:r>
      <w:r>
        <w:rPr>
          <w:rFonts w:hint="eastAsia"/>
          <w:lang w:val="en-US" w:eastAsia="zh-CN"/>
        </w:rPr>
        <w:t>2</w:t>
      </w:r>
      <w:r>
        <w:rPr>
          <w:rFonts w:hint="eastAsia"/>
        </w:rPr>
        <w:t>.</w:t>
      </w:r>
      <w:r>
        <w:rPr>
          <w:rFonts w:hint="eastAsia"/>
          <w:lang w:val="en-US" w:eastAsia="zh-CN"/>
        </w:rPr>
        <w:t>2</w:t>
      </w:r>
      <w:r>
        <w:rPr>
          <w:rFonts w:hint="eastAsia"/>
        </w:rPr>
        <w:t xml:space="preserve"> </w:t>
      </w:r>
      <w:r>
        <w:rPr>
          <w:rFonts w:hint="eastAsia"/>
          <w:lang w:val="en-US" w:eastAsia="zh-CN"/>
        </w:rPr>
        <w:t>严重</w:t>
      </w:r>
      <w:r>
        <w:rPr>
          <w:rFonts w:hint="eastAsia"/>
        </w:rPr>
        <w:t>预警</w:t>
      </w:r>
      <w:r>
        <w:rPr>
          <w:rFonts w:hint="eastAsia"/>
          <w:lang w:val="en-US" w:eastAsia="zh-CN"/>
        </w:rPr>
        <w:t>处置</w:t>
      </w:r>
      <w:bookmarkEnd w:id="38"/>
    </w:p>
    <w:p>
      <w:pPr>
        <w:spacing w:line="360" w:lineRule="auto"/>
        <w:ind w:firstLine="640" w:firstLineChars="200"/>
        <w:rPr>
          <w:rFonts w:hint="eastAsia"/>
        </w:rPr>
      </w:pPr>
      <w:r>
        <w:rPr>
          <w:rFonts w:hint="eastAsia"/>
          <w:lang w:val="en-US" w:eastAsia="zh-CN"/>
        </w:rPr>
        <w:t>严重预警启动时，</w:t>
      </w:r>
      <w:r>
        <w:rPr>
          <w:rFonts w:hint="eastAsia"/>
        </w:rPr>
        <w:t>结算公司进行账款催收工作，并通报中国民用机场协会及其所有成员</w:t>
      </w:r>
      <w:r>
        <w:rPr>
          <w:rFonts w:hint="eastAsia"/>
          <w:lang w:eastAsia="zh-CN"/>
        </w:rPr>
        <w:t>，</w:t>
      </w:r>
      <w:r>
        <w:rPr>
          <w:rFonts w:hint="eastAsia"/>
          <w:lang w:val="en-US" w:eastAsia="zh-CN"/>
        </w:rPr>
        <w:t>多方</w:t>
      </w:r>
      <w:r>
        <w:rPr>
          <w:rFonts w:hint="eastAsia"/>
        </w:rPr>
        <w:t>联合施行资金保全措施。</w:t>
      </w:r>
    </w:p>
    <w:p>
      <w:pPr>
        <w:spacing w:line="360" w:lineRule="auto"/>
        <w:ind w:firstLine="640" w:firstLineChars="200"/>
        <w:rPr>
          <w:rFonts w:hint="eastAsia"/>
          <w:lang w:val="en-US" w:eastAsia="zh-CN"/>
        </w:rPr>
      </w:pPr>
      <w:r>
        <w:rPr>
          <w:rFonts w:hint="eastAsia"/>
          <w:lang w:val="en-US" w:eastAsia="zh-CN"/>
        </w:rPr>
        <w:t>连续十二个自然月内累计启动三次严重预警的国际及港澳台航空公司，将强制其退出现时结算体系。</w:t>
      </w:r>
    </w:p>
    <w:p>
      <w:pPr>
        <w:pStyle w:val="2"/>
        <w:rPr>
          <w:rFonts w:hint="eastAsia"/>
        </w:rPr>
      </w:pPr>
      <w:bookmarkStart w:id="39" w:name="_Toc14554"/>
      <w:r>
        <w:rPr>
          <w:rFonts w:hint="eastAsia"/>
          <w:lang w:val="en-US" w:eastAsia="zh-CN"/>
        </w:rPr>
        <w:t>6</w:t>
      </w:r>
      <w:r>
        <w:rPr>
          <w:rFonts w:hint="eastAsia"/>
        </w:rPr>
        <w:t xml:space="preserve"> </w:t>
      </w:r>
      <w:r>
        <w:rPr>
          <w:rFonts w:hint="eastAsia"/>
          <w:lang w:val="en-US" w:eastAsia="zh-CN"/>
        </w:rPr>
        <w:t>现时结算准入及退出管理</w:t>
      </w:r>
      <w:bookmarkEnd w:id="39"/>
    </w:p>
    <w:p>
      <w:pPr>
        <w:pStyle w:val="3"/>
        <w:rPr>
          <w:rFonts w:hint="eastAsia"/>
          <w:lang w:val="en-US" w:eastAsia="zh-CN"/>
        </w:rPr>
      </w:pPr>
      <w:bookmarkStart w:id="40" w:name="_Toc25156"/>
      <w:r>
        <w:rPr>
          <w:rFonts w:hint="eastAsia"/>
          <w:lang w:val="en-US" w:eastAsia="zh-CN"/>
        </w:rPr>
        <w:t>6.1 现时结算准入管理</w:t>
      </w:r>
      <w:bookmarkEnd w:id="40"/>
    </w:p>
    <w:p>
      <w:pPr>
        <w:rPr>
          <w:rFonts w:hint="eastAsia"/>
          <w:lang w:val="en-US" w:eastAsia="zh-CN"/>
        </w:rPr>
      </w:pPr>
      <w:r>
        <w:rPr>
          <w:rFonts w:hint="eastAsia"/>
          <w:lang w:val="en-US" w:eastAsia="zh-CN"/>
        </w:rPr>
        <w:t xml:space="preserve">    国际及港澳台航空公司经与其供应商沟通，可自愿加入现时结算体系，且有责任提供相关资质，并对其真实性负责。</w:t>
      </w:r>
    </w:p>
    <w:p>
      <w:pPr>
        <w:pStyle w:val="3"/>
        <w:rPr>
          <w:rFonts w:hint="eastAsia"/>
          <w:lang w:val="en-US" w:eastAsia="zh-CN"/>
        </w:rPr>
      </w:pPr>
      <w:bookmarkStart w:id="41" w:name="_Toc29264"/>
      <w:r>
        <w:rPr>
          <w:rFonts w:hint="eastAsia"/>
          <w:lang w:val="en-US" w:eastAsia="zh-CN"/>
        </w:rPr>
        <w:t>6.2 现时结算退出管理</w:t>
      </w:r>
      <w:bookmarkEnd w:id="41"/>
    </w:p>
    <w:p>
      <w:pPr>
        <w:pStyle w:val="4"/>
        <w:rPr>
          <w:rFonts w:hint="eastAsia"/>
          <w:lang w:val="en-US" w:eastAsia="zh-CN"/>
        </w:rPr>
      </w:pPr>
      <w:bookmarkStart w:id="42" w:name="_Toc17728"/>
      <w:r>
        <w:rPr>
          <w:rFonts w:hint="eastAsia"/>
          <w:lang w:val="en-US" w:eastAsia="zh-CN"/>
        </w:rPr>
        <w:t>6.2.1 一般退出管理</w:t>
      </w:r>
      <w:bookmarkEnd w:id="42"/>
    </w:p>
    <w:p>
      <w:pPr>
        <w:rPr>
          <w:rFonts w:hint="eastAsia"/>
          <w:lang w:val="en-US" w:eastAsia="zh-CN"/>
        </w:rPr>
      </w:pPr>
      <w:r>
        <w:rPr>
          <w:rFonts w:hint="eastAsia"/>
          <w:lang w:val="en-US" w:eastAsia="zh-CN"/>
        </w:rPr>
        <w:t xml:space="preserve">    国际及港澳台航空公司经与其供应商沟通，可自愿退出现时结算体系。国际及港澳台航空公司应配合其供应商、代理结算第三方等相关部门进行账户清算，其现时结算账户余额将在清算结束后十五个工作日内退回至其有效银行账户。</w:t>
      </w:r>
    </w:p>
    <w:p>
      <w:pPr>
        <w:pStyle w:val="4"/>
        <w:rPr>
          <w:rFonts w:hint="eastAsia"/>
          <w:lang w:val="en-US" w:eastAsia="zh-CN"/>
        </w:rPr>
      </w:pPr>
      <w:bookmarkStart w:id="43" w:name="_Toc2916"/>
      <w:r>
        <w:rPr>
          <w:rFonts w:hint="eastAsia"/>
          <w:lang w:val="en-US" w:eastAsia="zh-CN"/>
        </w:rPr>
        <w:t>6.2.1 特殊退出管理</w:t>
      </w:r>
      <w:bookmarkEnd w:id="43"/>
    </w:p>
    <w:p>
      <w:pPr>
        <w:rPr>
          <w:rFonts w:hint="eastAsia"/>
          <w:lang w:val="en-US" w:eastAsia="zh-CN"/>
        </w:rPr>
      </w:pPr>
      <w:r>
        <w:rPr>
          <w:rFonts w:hint="eastAsia"/>
          <w:lang w:val="en-US" w:eastAsia="zh-CN"/>
        </w:rPr>
        <w:t xml:space="preserve">    国际及港澳台航空公司付款情况启动严重预警时，将被强制退出现时结算体系，同时其结算方式将转回至传统结算模式，并按其与供应商协议内容收取滞纳金。国际及港澳台航空公司现时结算账户余额将被冻结至其结清应付款。</w:t>
      </w:r>
    </w:p>
    <w:p>
      <w:pPr>
        <w:rPr>
          <w:rFonts w:hint="eastAsia"/>
          <w:lang w:val="en-US" w:eastAsia="zh-CN"/>
        </w:rPr>
      </w:pPr>
    </w:p>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华光报宋二_CNKI">
    <w:panose1 w:val="02000500000000000000"/>
    <w:charset w:val="86"/>
    <w:family w:val="auto"/>
    <w:pitch w:val="default"/>
    <w:sig w:usb0="A00002BF" w:usb1="38CF7CFA" w:usb2="00000016" w:usb3="00000000" w:csb0="0004000F" w:csb1="00000000"/>
  </w:font>
  <w:font w:name="华光大标宋_CNKI">
    <w:panose1 w:val="02000500000000000000"/>
    <w:charset w:val="86"/>
    <w:family w:val="auto"/>
    <w:pitch w:val="default"/>
    <w:sig w:usb0="A00002BF" w:usb1="38CF7CFA" w:usb2="00000016" w:usb3="00000000" w:csb0="0004000F" w:csb1="00000000"/>
  </w:font>
  <w:font w:name="华光报宋_CNKI">
    <w:panose1 w:val="02000500000000000000"/>
    <w:charset w:val="86"/>
    <w:family w:val="auto"/>
    <w:pitch w:val="default"/>
    <w:sig w:usb0="A00002BF" w:usb1="38CF7CFA" w:usb2="00000016" w:usb3="00000000" w:csb0="0004000F" w:csb1="00000000"/>
  </w:font>
  <w:font w:name="华光仿宋二_CNKI">
    <w:panose1 w:val="02000500000000000000"/>
    <w:charset w:val="86"/>
    <w:family w:val="auto"/>
    <w:pitch w:val="default"/>
    <w:sig w:usb0="A00002BF" w:usb1="38CF7CFA" w:usb2="00000016" w:usb3="00000000" w:csb0="0004000F" w:csb1="00000000"/>
  </w:font>
  <w:font w:name="华光黑变_CNKI">
    <w:panose1 w:val="02000500000000000000"/>
    <w:charset w:val="86"/>
    <w:family w:val="auto"/>
    <w:pitch w:val="default"/>
    <w:sig w:usb0="A00002BF" w:usb1="18CF7CFA" w:usb2="00000016" w:usb3="00000000" w:csb0="0004000F" w:csb1="00000000"/>
  </w:font>
  <w:font w:name="华光书宋二_CNKI">
    <w:panose1 w:val="02000500000000000000"/>
    <w:charset w:val="86"/>
    <w:family w:val="auto"/>
    <w:pitch w:val="default"/>
    <w:sig w:usb0="A00002BF" w:usb1="38CF7CFA" w:usb2="00000016" w:usb3="00000000" w:csb0="0004000F" w:csb1="00000000"/>
  </w:font>
  <w:font w:name="华光小标宋_CNKI">
    <w:panose1 w:val="02000500000000000000"/>
    <w:charset w:val="86"/>
    <w:family w:val="auto"/>
    <w:pitch w:val="default"/>
    <w:sig w:usb0="A00002BF" w:usb1="38CF7CFA" w:usb2="00000016" w:usb3="00000000" w:csb0="0004000F" w:csb1="00000000"/>
  </w:font>
  <w:font w:name="华光行楷_CNKI">
    <w:panose1 w:val="02000500000000000000"/>
    <w:charset w:val="86"/>
    <w:family w:val="auto"/>
    <w:pitch w:val="default"/>
    <w:sig w:usb0="A00002BF" w:usb1="18CF7CFA" w:usb2="00000016" w:usb3="00000000" w:csb0="0004000F" w:csb1="00000000"/>
  </w:font>
  <w:font w:name="华光幼线_CNKI">
    <w:panose1 w:val="02000500000000000000"/>
    <w:charset w:val="86"/>
    <w:family w:val="auto"/>
    <w:pitch w:val="default"/>
    <w:sig w:usb0="A00002BF" w:usb1="38CF7CFA" w:usb2="00000016" w:usb3="00000000" w:csb0="0004000F" w:csb1="00000000"/>
  </w:font>
  <w:font w:name="华光中长宋_CNKI">
    <w:panose1 w:val="02000500000000000000"/>
    <w:charset w:val="86"/>
    <w:family w:val="auto"/>
    <w:pitch w:val="default"/>
    <w:sig w:usb0="A00002BF" w:usb1="38CF7CFA" w:usb2="00000016" w:usb3="00000000" w:csb0="0004000F" w:csb1="00000000"/>
  </w:font>
  <w:font w:name="华文彩云">
    <w:panose1 w:val="02010800040101010101"/>
    <w:charset w:val="86"/>
    <w:family w:val="auto"/>
    <w:pitch w:val="default"/>
    <w:sig w:usb0="00000001" w:usb1="080F0000" w:usb2="00000000" w:usb3="00000000" w:csb0="00040000" w:csb1="00000000"/>
  </w:font>
  <w:font w:name="Bahnschrift SemiBold Condensed">
    <w:panose1 w:val="020B0502040204020203"/>
    <w:charset w:val="00"/>
    <w:family w:val="auto"/>
    <w:pitch w:val="default"/>
    <w:sig w:usb0="A00002C7" w:usb1="00000002" w:usb2="00000000" w:usb3="00000000" w:csb0="2000019F" w:csb1="00000000"/>
  </w:font>
  <w:font w:name="Bahnschrift Condensed">
    <w:panose1 w:val="020B0502040204020203"/>
    <w:charset w:val="00"/>
    <w:family w:val="auto"/>
    <w:pitch w:val="default"/>
    <w:sig w:usb0="A00002C7" w:usb1="00000002" w:usb2="00000000" w:usb3="00000000" w:csb0="2000019F" w:csb1="00000000"/>
  </w:font>
  <w:font w:name="Bahnschrift SemiBold">
    <w:panose1 w:val="020B0502040204020203"/>
    <w:charset w:val="00"/>
    <w:family w:val="auto"/>
    <w:pitch w:val="default"/>
    <w:sig w:usb0="A00002C7" w:usb1="00000002" w:usb2="00000000" w:usb3="00000000" w:csb0="2000019F" w:csb1="00000000"/>
  </w:font>
  <w:font w:name="Corbel">
    <w:panose1 w:val="020B0503020204020204"/>
    <w:charset w:val="00"/>
    <w:family w:val="auto"/>
    <w:pitch w:val="default"/>
    <w:sig w:usb0="A00002EF" w:usb1="4000A44B" w:usb2="00000000" w:usb3="00000000" w:csb0="2000019F" w:csb1="00000000"/>
  </w:font>
  <w:font w:name="Franklin Gothic Medium">
    <w:panose1 w:val="020B0603020102020204"/>
    <w:charset w:val="00"/>
    <w:family w:val="auto"/>
    <w:pitch w:val="default"/>
    <w:sig w:usb0="00000287" w:usb1="00000000" w:usb2="00000000" w:usb3="00000000" w:csb0="2000009F" w:csb1="DFD70000"/>
  </w:font>
  <w:font w:name="HGB3_CNKI">
    <w:panose1 w:val="02000500000000000000"/>
    <w:charset w:val="86"/>
    <w:family w:val="auto"/>
    <w:pitch w:val="default"/>
    <w:sig w:usb0="80000023" w:usb1="18010000" w:usb2="00000010" w:usb3="00000000" w:csb0="00040003" w:csb1="00000000"/>
  </w:font>
  <w:font w:name="HGF1X_CNKI">
    <w:panose1 w:val="02000500000000000000"/>
    <w:charset w:val="86"/>
    <w:family w:val="auto"/>
    <w:pitch w:val="default"/>
    <w:sig w:usb0="80000023" w:usb1="18010000" w:usb2="00000010" w:usb3="00000000" w:csb0="00040003" w:csb1="00000000"/>
  </w:font>
  <w:font w:name="HGF4_CNKI">
    <w:panose1 w:val="02000500000000000000"/>
    <w:charset w:val="86"/>
    <w:family w:val="auto"/>
    <w:pitch w:val="default"/>
    <w:sig w:usb0="80000023" w:usb1="18010000" w:usb2="00000010" w:usb3="00000000" w:csb0="00040003" w:csb1="00000000"/>
  </w:font>
  <w:font w:name="HGH2X_CNKI">
    <w:panose1 w:val="02000500000000000000"/>
    <w:charset w:val="86"/>
    <w:family w:val="auto"/>
    <w:pitch w:val="default"/>
    <w:sig w:usb0="80000023" w:usb1="18010000" w:usb2="00000010" w:usb3="00000000" w:csb0="00040003"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Lines="0" w:afterLines="0"/>
      <w:ind w:firstLine="360"/>
      <w:rPr>
        <w:rStyle w:val="18"/>
        <w:rFonts w:hint="default" w:ascii="Calibri" w:hAnsi="Calibri"/>
        <w:sz w:val="18"/>
        <w:szCs w:val="18"/>
      </w:rPr>
    </w:pPr>
  </w:p>
  <w:p>
    <w:pPr>
      <w:pStyle w:val="9"/>
      <w:spacing w:beforeLines="0" w:afterLines="0"/>
      <w:ind w:firstLine="360"/>
      <w:rPr>
        <w:rFonts w:hint="eastAsi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101" o:spid="_x0000_s4101"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aspectratio="f"/>
          <v:textbox inset="0mm,0mm,0mm,0mm" style="mso-fit-shape-to-text:t;">
            <w:txbxContent>
              <w:p>
                <w:pPr>
                  <w:snapToGrid w:val="0"/>
                  <w:rPr>
                    <w:rFonts w:eastAsiaTheme="minor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102" o:spid="_x0000_s4102"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joinstyle="miter"/>
          <v:imagedata o:title=""/>
          <o:lock v:ext="edit" aspectratio="f"/>
          <v:textbox inset="0mm,0mm,0mm,0mm" style="mso-fit-shape-to-text:t;">
            <w:txbxContent>
              <w:p>
                <w:pPr>
                  <w:snapToGrid w:val="0"/>
                  <w:rPr>
                    <w:rFonts w:eastAsiaTheme="minor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spacing w:beforeLines="0" w:afterLines="0"/>
      <w:ind w:firstLine="0" w:firstLineChars="0"/>
      <w:jc w:val="both"/>
      <w:rPr>
        <w:rFonts w:hint="eastAsi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FE6621"/>
    <w:multiLevelType w:val="singleLevel"/>
    <w:tmpl w:val="60FE6621"/>
    <w:lvl w:ilvl="0" w:tentative="0">
      <w:start w:val="1"/>
      <w:numFmt w:val="decimal"/>
      <w:suff w:val="nothing"/>
      <w:lvlText w:val="%1."/>
      <w:lvlJc w:val="left"/>
    </w:lvl>
  </w:abstractNum>
  <w:abstractNum w:abstractNumId="1">
    <w:nsid w:val="60FE68E2"/>
    <w:multiLevelType w:val="singleLevel"/>
    <w:tmpl w:val="60FE68E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855B1"/>
    <w:rsid w:val="000E061D"/>
    <w:rsid w:val="001265F3"/>
    <w:rsid w:val="001543BA"/>
    <w:rsid w:val="00156FBF"/>
    <w:rsid w:val="00172F28"/>
    <w:rsid w:val="002D14C8"/>
    <w:rsid w:val="002F086B"/>
    <w:rsid w:val="003074CB"/>
    <w:rsid w:val="004A0F00"/>
    <w:rsid w:val="004A577D"/>
    <w:rsid w:val="005B0333"/>
    <w:rsid w:val="006D0299"/>
    <w:rsid w:val="0082458F"/>
    <w:rsid w:val="008C558A"/>
    <w:rsid w:val="00A27E6F"/>
    <w:rsid w:val="01B14CBE"/>
    <w:rsid w:val="025A095B"/>
    <w:rsid w:val="03873BF4"/>
    <w:rsid w:val="03DF64A2"/>
    <w:rsid w:val="05480529"/>
    <w:rsid w:val="07621CBF"/>
    <w:rsid w:val="07D0473B"/>
    <w:rsid w:val="096008B8"/>
    <w:rsid w:val="0B925F77"/>
    <w:rsid w:val="0C8B334F"/>
    <w:rsid w:val="0CDB3EAC"/>
    <w:rsid w:val="0E925A7D"/>
    <w:rsid w:val="106D7ACE"/>
    <w:rsid w:val="116D4821"/>
    <w:rsid w:val="11FB7F1B"/>
    <w:rsid w:val="127F2D6D"/>
    <w:rsid w:val="12D30D99"/>
    <w:rsid w:val="12F80A63"/>
    <w:rsid w:val="141F716D"/>
    <w:rsid w:val="14264238"/>
    <w:rsid w:val="14FD6B85"/>
    <w:rsid w:val="1718363D"/>
    <w:rsid w:val="18B550C4"/>
    <w:rsid w:val="1B7C1234"/>
    <w:rsid w:val="1B9849F2"/>
    <w:rsid w:val="1D9D0ECA"/>
    <w:rsid w:val="1EF47EB2"/>
    <w:rsid w:val="202938DB"/>
    <w:rsid w:val="20604BD7"/>
    <w:rsid w:val="21DC2F84"/>
    <w:rsid w:val="22C56156"/>
    <w:rsid w:val="23D26AA6"/>
    <w:rsid w:val="25F77FB5"/>
    <w:rsid w:val="2A5D4AE7"/>
    <w:rsid w:val="2AAE423F"/>
    <w:rsid w:val="2BAA50BF"/>
    <w:rsid w:val="2DAD56EF"/>
    <w:rsid w:val="2F2A1D29"/>
    <w:rsid w:val="2F523882"/>
    <w:rsid w:val="30092B30"/>
    <w:rsid w:val="30376292"/>
    <w:rsid w:val="31361C28"/>
    <w:rsid w:val="316A4C8D"/>
    <w:rsid w:val="33CC5D04"/>
    <w:rsid w:val="360F1074"/>
    <w:rsid w:val="38154F50"/>
    <w:rsid w:val="384F0342"/>
    <w:rsid w:val="38F378A0"/>
    <w:rsid w:val="3A551F58"/>
    <w:rsid w:val="3BCC604A"/>
    <w:rsid w:val="3DE45B96"/>
    <w:rsid w:val="40515C5D"/>
    <w:rsid w:val="409672E3"/>
    <w:rsid w:val="40C90805"/>
    <w:rsid w:val="41216735"/>
    <w:rsid w:val="43432E22"/>
    <w:rsid w:val="463B48F7"/>
    <w:rsid w:val="46B24787"/>
    <w:rsid w:val="4BFA6DF6"/>
    <w:rsid w:val="4E384372"/>
    <w:rsid w:val="4EC54C94"/>
    <w:rsid w:val="4FDB0BF1"/>
    <w:rsid w:val="520F3DA4"/>
    <w:rsid w:val="5290464D"/>
    <w:rsid w:val="534D5B09"/>
    <w:rsid w:val="537D72CD"/>
    <w:rsid w:val="5733406E"/>
    <w:rsid w:val="58C02D43"/>
    <w:rsid w:val="5D4C6F9D"/>
    <w:rsid w:val="5D8C75C8"/>
    <w:rsid w:val="5D8D4241"/>
    <w:rsid w:val="5F5048C6"/>
    <w:rsid w:val="60DA5CC8"/>
    <w:rsid w:val="64AB14D7"/>
    <w:rsid w:val="64D66FEA"/>
    <w:rsid w:val="66317E32"/>
    <w:rsid w:val="67231902"/>
    <w:rsid w:val="67281DFE"/>
    <w:rsid w:val="6A8E40A7"/>
    <w:rsid w:val="6B9F31EA"/>
    <w:rsid w:val="70CA36DA"/>
    <w:rsid w:val="711974FF"/>
    <w:rsid w:val="76023F80"/>
    <w:rsid w:val="77985B6B"/>
    <w:rsid w:val="7BC416C2"/>
    <w:rsid w:val="7D644B4B"/>
    <w:rsid w:val="7D9678E4"/>
    <w:rsid w:val="7DC804B8"/>
    <w:rsid w:val="7E284F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连接符 1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4"/>
      <w:lang w:val="en-US" w:eastAsia="zh-CN" w:bidi="ar-SA"/>
    </w:rPr>
  </w:style>
  <w:style w:type="paragraph" w:styleId="2">
    <w:name w:val="heading 1"/>
    <w:basedOn w:val="1"/>
    <w:next w:val="1"/>
    <w:link w:val="24"/>
    <w:qFormat/>
    <w:uiPriority w:val="0"/>
    <w:pPr>
      <w:keepNext/>
      <w:keepLines/>
      <w:spacing w:line="576" w:lineRule="auto"/>
      <w:outlineLvl w:val="0"/>
    </w:pPr>
    <w:rPr>
      <w:rFonts w:eastAsia="宋体"/>
      <w:b/>
      <w:kern w:val="44"/>
      <w:sz w:val="44"/>
    </w:rPr>
  </w:style>
  <w:style w:type="paragraph" w:styleId="3">
    <w:name w:val="heading 2"/>
    <w:basedOn w:val="1"/>
    <w:next w:val="1"/>
    <w:link w:val="21"/>
    <w:unhideWhenUsed/>
    <w:qFormat/>
    <w:uiPriority w:val="0"/>
    <w:pPr>
      <w:keepNext/>
      <w:keepLines/>
      <w:spacing w:line="413" w:lineRule="auto"/>
      <w:outlineLvl w:val="1"/>
    </w:pPr>
    <w:rPr>
      <w:rFonts w:ascii="Arial" w:hAnsi="Arial" w:eastAsia="宋体"/>
      <w:b/>
      <w:sz w:val="36"/>
    </w:rPr>
  </w:style>
  <w:style w:type="paragraph" w:styleId="4">
    <w:name w:val="heading 3"/>
    <w:basedOn w:val="1"/>
    <w:next w:val="1"/>
    <w:link w:val="22"/>
    <w:unhideWhenUsed/>
    <w:qFormat/>
    <w:uiPriority w:val="0"/>
    <w:pPr>
      <w:keepNext/>
      <w:keepLines/>
      <w:spacing w:line="413" w:lineRule="auto"/>
      <w:outlineLvl w:val="2"/>
    </w:pPr>
    <w:rPr>
      <w:rFonts w:eastAsia="宋体"/>
      <w:b/>
    </w:rPr>
  </w:style>
  <w:style w:type="character" w:default="1" w:styleId="17">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toc 5"/>
    <w:basedOn w:val="1"/>
    <w:next w:val="1"/>
    <w:qFormat/>
    <w:uiPriority w:val="0"/>
    <w:pPr>
      <w:ind w:left="1680" w:leftChars="800"/>
    </w:pPr>
  </w:style>
  <w:style w:type="paragraph" w:styleId="7">
    <w:name w:val="toc 3"/>
    <w:basedOn w:val="1"/>
    <w:next w:val="1"/>
    <w:qFormat/>
    <w:uiPriority w:val="0"/>
    <w:pPr>
      <w:ind w:left="840" w:leftChars="400"/>
    </w:pPr>
  </w:style>
  <w:style w:type="paragraph" w:styleId="8">
    <w:name w:val="toc 8"/>
    <w:basedOn w:val="1"/>
    <w:next w:val="1"/>
    <w:qFormat/>
    <w:uiPriority w:val="0"/>
    <w:pPr>
      <w:ind w:left="2940" w:leftChars="1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4"/>
    <w:basedOn w:val="1"/>
    <w:next w:val="1"/>
    <w:qFormat/>
    <w:uiPriority w:val="0"/>
    <w:pPr>
      <w:ind w:left="1260" w:leftChars="600"/>
    </w:pPr>
  </w:style>
  <w:style w:type="paragraph" w:styleId="13">
    <w:name w:val="toc 6"/>
    <w:basedOn w:val="1"/>
    <w:next w:val="1"/>
    <w:qFormat/>
    <w:uiPriority w:val="0"/>
    <w:pPr>
      <w:ind w:left="2100" w:leftChars="1000"/>
    </w:pPr>
  </w:style>
  <w:style w:type="paragraph" w:styleId="14">
    <w:name w:val="toc 2"/>
    <w:basedOn w:val="1"/>
    <w:next w:val="1"/>
    <w:qFormat/>
    <w:uiPriority w:val="0"/>
    <w:pPr>
      <w:ind w:left="420" w:leftChars="200"/>
    </w:pPr>
  </w:style>
  <w:style w:type="paragraph" w:styleId="15">
    <w:name w:val="toc 9"/>
    <w:basedOn w:val="1"/>
    <w:next w:val="1"/>
    <w:qFormat/>
    <w:uiPriority w:val="0"/>
    <w:pPr>
      <w:ind w:left="3360" w:leftChars="1600"/>
    </w:pPr>
  </w:style>
  <w:style w:type="character" w:styleId="18">
    <w:name w:val="page number"/>
    <w:basedOn w:val="17"/>
    <w:unhideWhenUsed/>
    <w:qFormat/>
    <w:uiPriority w:val="99"/>
    <w:rPr>
      <w:rFonts w:hint="default"/>
      <w:sz w:val="24"/>
      <w:szCs w:val="24"/>
    </w:rPr>
  </w:style>
  <w:style w:type="character" w:styleId="19">
    <w:name w:val="FollowedHyperlink"/>
    <w:basedOn w:val="17"/>
    <w:qFormat/>
    <w:uiPriority w:val="0"/>
    <w:rPr>
      <w:rFonts w:hint="eastAsia" w:ascii="宋体" w:hAnsi="宋体" w:eastAsia="宋体" w:cs="宋体"/>
      <w:color w:val="13538E"/>
      <w:sz w:val="18"/>
      <w:szCs w:val="18"/>
      <w:u w:val="none"/>
    </w:rPr>
  </w:style>
  <w:style w:type="character" w:styleId="20">
    <w:name w:val="Hyperlink"/>
    <w:basedOn w:val="17"/>
    <w:qFormat/>
    <w:uiPriority w:val="0"/>
    <w:rPr>
      <w:rFonts w:hint="eastAsia" w:ascii="宋体" w:hAnsi="宋体" w:eastAsia="宋体" w:cs="宋体"/>
      <w:color w:val="13538E"/>
      <w:sz w:val="18"/>
      <w:szCs w:val="18"/>
      <w:u w:val="none"/>
    </w:rPr>
  </w:style>
  <w:style w:type="character" w:customStyle="1" w:styleId="21">
    <w:name w:val="标题 2 Char"/>
    <w:link w:val="3"/>
    <w:qFormat/>
    <w:uiPriority w:val="0"/>
    <w:rPr>
      <w:rFonts w:ascii="Arial" w:hAnsi="Arial" w:eastAsia="宋体"/>
      <w:b/>
      <w:sz w:val="36"/>
    </w:rPr>
  </w:style>
  <w:style w:type="character" w:customStyle="1" w:styleId="22">
    <w:name w:val="标题 3 Char"/>
    <w:link w:val="4"/>
    <w:qFormat/>
    <w:uiPriority w:val="0"/>
    <w:rPr>
      <w:rFonts w:eastAsia="宋体"/>
      <w:b/>
      <w:sz w:val="32"/>
    </w:rPr>
  </w:style>
  <w:style w:type="paragraph" w:customStyle="1" w:styleId="23">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szCs w:val="22"/>
      <w:lang w:val="en-US" w:eastAsia="zh-CN" w:bidi="ar-SA"/>
    </w:rPr>
  </w:style>
  <w:style w:type="character" w:customStyle="1" w:styleId="24">
    <w:name w:val="标题 1 Char"/>
    <w:link w:val="2"/>
    <w:qFormat/>
    <w:uiPriority w:val="0"/>
    <w:rPr>
      <w:rFonts w:eastAsia="宋体"/>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1"/>
    <customShpInfo spid="_x0000_s4102"/>
    <customShpInfo spid="_x0000_s2050"/>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789</Words>
  <Characters>4503</Characters>
  <Lines>1</Lines>
  <Paragraphs>1</Paragraphs>
  <TotalTime>1</TotalTime>
  <ScaleCrop>false</ScaleCrop>
  <LinksUpToDate>false</LinksUpToDate>
  <CharactersWithSpaces>5282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lij</dc:creator>
  <cp:lastModifiedBy>趙小姐</cp:lastModifiedBy>
  <dcterms:modified xsi:type="dcterms:W3CDTF">2021-09-18T01:58:28Z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B76D07136E264589BA5EE128B3A6C46F</vt:lpwstr>
  </property>
</Properties>
</file>